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7FFF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343B307">
            <w:pPr>
              <w:pStyle w:val="6"/>
              <w:framePr w:wrap="notBeside" w:vAnchor="page" w:hAnchor="page" w:x="1271" w:y="997"/>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14:paraId="4C497DDB">
            <w:pPr>
              <w:pStyle w:val="6"/>
              <w:framePr w:wrap="notBeside" w:vAnchor="page" w:hAnchor="page" w:x="1271" w:y="997"/>
              <w:tabs>
                <w:tab w:val="clear" w:pos="4153"/>
                <w:tab w:val="clear" w:pos="8306"/>
              </w:tabs>
              <w:spacing w:line="240" w:lineRule="auto"/>
              <w:jc w:val="both"/>
              <w:rPr>
                <w:rFonts w:ascii="Times New Roman" w:hAnsi="Times New Roman" w:eastAsia="黑体"/>
                <w:sz w:val="21"/>
                <w:szCs w:val="21"/>
              </w:rPr>
            </w:pPr>
            <w:r>
              <w:rPr>
                <w:rFonts w:hint="eastAsia" w:ascii="Times New Roman" w:hAnsi="Times New Roman" w:eastAsia="黑体"/>
                <w:sz w:val="21"/>
                <w:szCs w:val="21"/>
              </w:rPr>
              <w:t>97.195</w:t>
            </w:r>
            <w:r>
              <w:rPr>
                <w:rFonts w:hint="eastAsia" w:ascii="Times New Roman" w:hAnsi="Times New Roman" w:eastAsia="黑体"/>
                <w:sz w:val="21"/>
                <w:szCs w:val="21"/>
                <w:lang w:eastAsia="zh-CN"/>
              </w:rPr>
              <w:t>;</w:t>
            </w:r>
            <w:r>
              <w:rPr>
                <w:rFonts w:hint="eastAsia" w:ascii="Times New Roman" w:hAnsi="Times New Roman" w:eastAsia="黑体"/>
                <w:sz w:val="21"/>
                <w:szCs w:val="21"/>
              </w:rPr>
              <w:t>13.200</w:t>
            </w:r>
          </w:p>
        </w:tc>
      </w:tr>
      <w:tr w14:paraId="0BF8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7A3FBA">
            <w:pPr>
              <w:pStyle w:val="6"/>
              <w:framePr w:wrap="notBeside" w:vAnchor="page" w:hAnchor="page" w:x="1271" w:y="997"/>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14:paraId="62232576">
            <w:pPr>
              <w:pStyle w:val="6"/>
              <w:framePr w:wrap="notBeside" w:vAnchor="page" w:hAnchor="page" w:x="1271" w:y="997"/>
              <w:tabs>
                <w:tab w:val="clear" w:pos="4153"/>
                <w:tab w:val="clear" w:pos="8306"/>
              </w:tabs>
              <w:spacing w:before="40" w:line="240" w:lineRule="auto"/>
              <w:jc w:val="left"/>
              <w:rPr>
                <w:rFonts w:ascii="Times New Roman" w:hAnsi="Times New Roman" w:eastAsia="黑体"/>
                <w:sz w:val="21"/>
                <w:szCs w:val="21"/>
              </w:rPr>
            </w:pPr>
            <w:r>
              <w:rPr>
                <w:rFonts w:hint="eastAsia" w:ascii="Times New Roman" w:hAnsi="Times New Roman" w:eastAsia="黑体"/>
                <w:sz w:val="21"/>
                <w:szCs w:val="21"/>
              </w:rPr>
              <w:t>Y 88</w:t>
            </w:r>
            <w:r>
              <w:rPr>
                <w:rFonts w:hint="eastAsia" w:ascii="Times New Roman" w:hAnsi="Times New Roman" w:eastAsia="黑体"/>
                <w:sz w:val="21"/>
                <w:szCs w:val="21"/>
                <w:lang w:eastAsia="zh-CN"/>
              </w:rPr>
              <w:t xml:space="preserve">; </w:t>
            </w:r>
            <w:r>
              <w:rPr>
                <w:rFonts w:hint="eastAsia" w:ascii="Times New Roman" w:hAnsi="Times New Roman" w:eastAsia="黑体"/>
                <w:sz w:val="21"/>
                <w:szCs w:val="21"/>
              </w:rPr>
              <w:t>A 90</w:t>
            </w:r>
          </w:p>
        </w:tc>
      </w:tr>
    </w:tbl>
    <w:tbl>
      <w:tblPr>
        <w:tblStyle w:val="11"/>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14:paraId="68F1BFB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14:paraId="5FD059D5">
            <w:pPr>
              <w:pStyle w:val="16"/>
              <w:framePr w:w="0" w:hRule="auto" w:wrap="auto" w:vAnchor="margin" w:hAnchor="text" w:xAlign="left" w:yAlign="inline"/>
              <w:ind w:firstLine="420"/>
            </w:pPr>
            <w:bookmarkStart w:id="0" w:name="_Hlk26473981"/>
            <w:r>
              <w:fldChar w:fldCharType="begin">
                <w:ffData>
                  <w:name w:val="c1"/>
                  <w:enabled/>
                  <w:calcOnExit w:val="0"/>
                  <w:textInput>
                    <w:maxLength w:val="8"/>
                  </w:textInput>
                </w:ffData>
              </w:fldChar>
            </w:r>
            <w:bookmarkStart w:id="1" w:name="c1"/>
            <w:r>
              <w:instrText xml:space="preserve"> FORMTEXT </w:instrText>
            </w:r>
            <w:r>
              <w:fldChar w:fldCharType="separate"/>
            </w:r>
            <w:r>
              <w:t>WW</w:t>
            </w:r>
            <w:r>
              <w:fldChar w:fldCharType="end"/>
            </w:r>
            <w:bookmarkEnd w:id="1"/>
          </w:p>
        </w:tc>
      </w:tr>
    </w:tbl>
    <w:p w14:paraId="67D0875B">
      <w:pPr>
        <w:pStyle w:val="17"/>
        <w:framePr w:w="9639" w:h="624" w:hRule="exact" w:hSpace="181" w:vSpace="181" w:wrap="around" w:hAnchor="page" w:x="1232" w:y="2426"/>
        <w:rPr>
          <w:rFonts w:ascii="Times New Roman" w:eastAsia="黑体"/>
          <w:b w:val="0"/>
          <w:bCs w:val="0"/>
          <w:w w:val="100"/>
          <w:sz w:val="48"/>
          <w:szCs w:val="48"/>
        </w:rPr>
      </w:pPr>
      <w:r>
        <w:rPr>
          <w:rFonts w:hint="eastAsia" w:ascii="Times New Roman" w:eastAsia="黑体"/>
          <w:b w:val="0"/>
          <w:bCs w:val="0"/>
          <w:w w:val="100"/>
          <w:sz w:val="48"/>
          <w:szCs w:val="48"/>
        </w:rPr>
        <w:t>中华人民共和国</w:t>
      </w:r>
      <w:r>
        <w:rPr>
          <w:rFonts w:hint="eastAsia" w:ascii="Times New Roman" w:eastAsia="黑体"/>
          <w:b w:val="0"/>
          <w:bCs w:val="0"/>
          <w:w w:val="100"/>
          <w:sz w:val="48"/>
        </w:rPr>
        <w:t>文物保护</w:t>
      </w:r>
      <w:r>
        <w:rPr>
          <w:rFonts w:hint="eastAsia" w:ascii="Times New Roman" w:eastAsia="黑体"/>
          <w:b w:val="0"/>
          <w:bCs w:val="0"/>
          <w:w w:val="100"/>
          <w:sz w:val="48"/>
          <w:szCs w:val="48"/>
        </w:rPr>
        <w:t>行业标准</w:t>
      </w:r>
    </w:p>
    <w:bookmarkEnd w:id="0"/>
    <w:p w14:paraId="18E814E5">
      <w:pPr>
        <w:pStyle w:val="18"/>
        <w:framePr w:wrap="around"/>
        <w:rPr>
          <w:rFonts w:ascii="Times New Roman"/>
          <w:lang w:val="fr-FR"/>
        </w:rPr>
      </w:pPr>
      <w:r>
        <w:rPr>
          <w:rFonts w:ascii="Times New Roman"/>
        </w:rPr>
        <w:fldChar w:fldCharType="begin">
          <w:ffData>
            <w:name w:val="文字1"/>
            <w:enabled/>
            <w:calcOnExit w:val="0"/>
            <w:textInput>
              <w:default w:val="XX/T"/>
            </w:textInput>
          </w:ffData>
        </w:fldChar>
      </w:r>
      <w:bookmarkStart w:id="2" w:name="文字1"/>
      <w:r>
        <w:rPr>
          <w:rFonts w:ascii="Times New Roman"/>
          <w:lang w:val="fr-FR"/>
        </w:rPr>
        <w:instrText xml:space="preserve"> FORMTEXT </w:instrText>
      </w:r>
      <w:r>
        <w:rPr>
          <w:rFonts w:ascii="Times New Roman"/>
        </w:rPr>
        <w:fldChar w:fldCharType="separate"/>
      </w:r>
      <w:r>
        <w:rPr>
          <w:rFonts w:ascii="Times New Roman"/>
          <w:lang w:val="fr-FR"/>
        </w:rPr>
        <w:t>WW</w:t>
      </w:r>
      <w:r>
        <w:rPr>
          <w:rFonts w:hint="eastAsia" w:ascii="Times New Roman"/>
        </w:rPr>
        <w:t>/</w:t>
      </w:r>
      <w:r>
        <w:rPr>
          <w:rFonts w:ascii="Times New Roman"/>
          <w:lang w:val="fr-FR"/>
        </w:rPr>
        <w:t>T</w:t>
      </w:r>
      <w:r>
        <w:rPr>
          <w:rFonts w:ascii="Times New Roman"/>
        </w:rPr>
        <w:fldChar w:fldCharType="end"/>
      </w:r>
      <w:bookmarkEnd w:id="2"/>
      <w:r>
        <w:rPr>
          <w:rFonts w:ascii="Times New Roman"/>
          <w:lang w:val="fr-FR"/>
        </w:rPr>
        <w:t xml:space="preserve"> </w:t>
      </w:r>
      <w:r>
        <w:rPr>
          <w:rFonts w:ascii="Times New Roman"/>
        </w:rPr>
        <w:fldChar w:fldCharType="begin">
          <w:ffData>
            <w:name w:val="NSTD_CODE_F"/>
            <w:enabled/>
            <w:calcOnExit w:val="0"/>
            <w:textInput>
              <w:default w:val="XXXXX"/>
            </w:textInput>
          </w:ffData>
        </w:fldChar>
      </w:r>
      <w:bookmarkStart w:id="3" w:name="NSTD_CODE_F"/>
      <w:r>
        <w:rPr>
          <w:rFonts w:ascii="Times New Roman"/>
          <w:lang w:val="fr-FR"/>
        </w:rPr>
        <w:instrText xml:space="preserve"> FORMTEXT </w:instrText>
      </w:r>
      <w:r>
        <w:rPr>
          <w:rFonts w:ascii="Times New Roman"/>
        </w:rPr>
        <w:fldChar w:fldCharType="separate"/>
      </w:r>
      <w:r>
        <w:rPr>
          <w:rFonts w:ascii="Times New Roman"/>
          <w:lang w:val="fr-FR"/>
        </w:rPr>
        <w:t>XXXXX</w:t>
      </w:r>
      <w:r>
        <w:rPr>
          <w:rFonts w:ascii="Times New Roman"/>
        </w:rPr>
        <w:fldChar w:fldCharType="end"/>
      </w:r>
      <w:bookmarkEnd w:id="3"/>
      <w:r>
        <w:rPr>
          <w:rFonts w:ascii="Times New Roman"/>
          <w:lang w:val="fr-FR"/>
        </w:rPr>
        <w:t>—</w:t>
      </w:r>
      <w:r>
        <w:rPr>
          <w:rFonts w:ascii="Times New Roman"/>
        </w:rPr>
        <w:fldChar w:fldCharType="begin">
          <w:ffData>
            <w:name w:val="NSTD_CODE_B"/>
            <w:enabled/>
            <w:calcOnExit w:val="0"/>
            <w:textInput>
              <w:default w:val="XXXX"/>
            </w:textInput>
          </w:ffData>
        </w:fldChar>
      </w:r>
      <w:bookmarkStart w:id="4" w:name="NSTD_CODE_B"/>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4"/>
    </w:p>
    <w:p w14:paraId="09D7CB48">
      <w:pPr>
        <w:pStyle w:val="20"/>
        <w:framePr w:wrap="around"/>
        <w:rPr>
          <w:rFonts w:ascii="Times New Roman"/>
          <w:lang w:val="fr-FR"/>
        </w:rPr>
      </w:pPr>
    </w:p>
    <w:p w14:paraId="0938A740">
      <w:pPr>
        <w:spacing w:line="240" w:lineRule="auto"/>
        <w:rPr>
          <w:rFonts w:ascii="Times New Roman" w:hAnsi="Times New Roman" w:eastAsia="黑体"/>
          <w:kern w:val="0"/>
          <w:sz w:val="10"/>
          <w:szCs w:val="10"/>
          <w:lang w:val="fr-FR"/>
        </w:rPr>
      </w:pPr>
      <w:r>
        <w:rPr>
          <w:rFonts w:ascii="Times New Roman" w:hAnsi="Times New Roman" w:eastAsia="黑体"/>
          <w:kern w:val="0"/>
          <w:sz w:val="10"/>
          <w:szCs w:val="10"/>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9EA34C5">
      <w:pPr>
        <w:pStyle w:val="17"/>
        <w:framePr w:w="9639" w:h="6976" w:hRule="exact" w:hSpace="0" w:vSpace="0" w:wrap="around" w:hAnchor="page" w:y="6408"/>
        <w:jc w:val="center"/>
        <w:rPr>
          <w:rFonts w:ascii="Times New Roman" w:eastAsia="黑体"/>
          <w:b w:val="0"/>
          <w:bCs w:val="0"/>
          <w:w w:val="100"/>
          <w:lang w:val="fr-FR"/>
        </w:rPr>
      </w:pPr>
    </w:p>
    <w:p w14:paraId="2BDC4903">
      <w:pPr>
        <w:pStyle w:val="21"/>
        <w:framePr w:h="6974" w:hRule="exact" w:wrap="around" w:x="1419" w:anchorLock="1"/>
        <w:rPr>
          <w:rFonts w:ascii="Times New Roman" w:hAnsi="Times New Roman"/>
        </w:rPr>
      </w:pPr>
      <w:r>
        <w:rPr>
          <w:rFonts w:hint="eastAsia" w:ascii="Times New Roman" w:hAnsi="Times New Roman"/>
        </w:rPr>
        <w:t>博物馆安全保卫管理规范</w:t>
      </w:r>
    </w:p>
    <w:p w14:paraId="2FC968C9">
      <w:pPr>
        <w:framePr w:w="9639" w:h="6974" w:hRule="exact" w:wrap="around" w:vAnchor="page" w:hAnchor="page" w:x="1419" w:y="6408" w:anchorLock="1"/>
        <w:ind w:left="-1418"/>
        <w:rPr>
          <w:rFonts w:ascii="Times New Roman" w:hAnsi="Times New Roman"/>
        </w:rPr>
      </w:pPr>
    </w:p>
    <w:p w14:paraId="572CC331">
      <w:pPr>
        <w:pStyle w:val="22"/>
        <w:framePr w:w="9639" w:h="6974" w:hRule="exact" w:wrap="around" w:vAnchor="page" w:hAnchor="page" w:x="1419" w:y="6408" w:anchorLock="1"/>
        <w:textAlignment w:val="bottom"/>
        <w:rPr>
          <w:rFonts w:eastAsia="黑体"/>
          <w:szCs w:val="28"/>
        </w:rPr>
      </w:pPr>
      <w:r>
        <w:rPr>
          <w:rFonts w:hint="eastAsia" w:eastAsia="黑体"/>
          <w:szCs w:val="28"/>
        </w:rPr>
        <w:t xml:space="preserve"> </w:t>
      </w:r>
      <w:bookmarkStart w:id="5" w:name="ESTD_NAME"/>
      <w:r>
        <w:rPr>
          <w:rFonts w:hint="eastAsia" w:eastAsia="黑体"/>
          <w:szCs w:val="28"/>
        </w:rPr>
        <w:fldChar w:fldCharType="begin">
          <w:ffData>
            <w:name w:val="ESTD_NAME"/>
            <w:enabled/>
            <w:calcOnExit w:val="0"/>
            <w:textInput>
              <w:default w:val="Specification for security management of museum "/>
            </w:textInput>
          </w:ffData>
        </w:fldChar>
      </w:r>
      <w:r>
        <w:rPr>
          <w:rFonts w:hint="eastAsia" w:eastAsia="黑体"/>
          <w:szCs w:val="28"/>
        </w:rPr>
        <w:instrText xml:space="preserve">FORMTEXT</w:instrText>
      </w:r>
      <w:r>
        <w:rPr>
          <w:rFonts w:hint="eastAsia" w:eastAsia="黑体"/>
          <w:szCs w:val="28"/>
        </w:rPr>
        <w:fldChar w:fldCharType="separate"/>
      </w:r>
      <w:r>
        <w:rPr>
          <w:rFonts w:hint="eastAsia" w:eastAsia="黑体"/>
          <w:szCs w:val="28"/>
        </w:rPr>
        <w:t xml:space="preserve">Specification for security management of museum </w:t>
      </w:r>
      <w:r>
        <w:rPr>
          <w:rFonts w:hint="eastAsia" w:eastAsia="黑体"/>
          <w:szCs w:val="28"/>
        </w:rPr>
        <w:fldChar w:fldCharType="end"/>
      </w:r>
      <w:bookmarkEnd w:id="5"/>
    </w:p>
    <w:p w14:paraId="7251C9FF">
      <w:pPr>
        <w:pStyle w:val="22"/>
        <w:framePr w:w="9639" w:h="6974" w:hRule="exact" w:wrap="around" w:vAnchor="page" w:hAnchor="page" w:x="1419" w:y="6408" w:anchorLock="1"/>
        <w:spacing w:before="440" w:after="160"/>
        <w:textAlignment w:val="bottom"/>
        <w:rPr>
          <w:sz w:val="32"/>
          <w:szCs w:val="36"/>
        </w:rPr>
      </w:pPr>
      <w:r>
        <w:rPr>
          <w:rFonts w:hint="eastAsia"/>
          <w:sz w:val="32"/>
          <w:szCs w:val="36"/>
        </w:rPr>
        <w:t>（征求意见稿）</w:t>
      </w:r>
    </w:p>
    <w:p w14:paraId="01BC6809">
      <w:pPr>
        <w:pStyle w:val="22"/>
        <w:framePr w:w="9639" w:h="6974" w:hRule="exact" w:wrap="around" w:vAnchor="page" w:hAnchor="page" w:x="1419" w:y="6408" w:anchorLock="1"/>
        <w:spacing w:before="180" w:line="240" w:lineRule="atLeast"/>
        <w:textAlignment w:val="bottom"/>
        <w:rPr>
          <w:sz w:val="21"/>
          <w:szCs w:val="28"/>
        </w:rPr>
      </w:pPr>
      <w:r>
        <w:rPr>
          <w:rFonts w:hint="eastAsia"/>
          <w:sz w:val="21"/>
          <w:szCs w:val="28"/>
        </w:rPr>
        <w:t>（完成时间：2</w:t>
      </w:r>
      <w:r>
        <w:rPr>
          <w:sz w:val="21"/>
          <w:szCs w:val="28"/>
        </w:rPr>
        <w:t>02</w:t>
      </w:r>
      <w:r>
        <w:rPr>
          <w:rFonts w:hint="eastAsia"/>
          <w:sz w:val="21"/>
          <w:szCs w:val="28"/>
        </w:rPr>
        <w:t>6年</w:t>
      </w:r>
      <w:r>
        <w:rPr>
          <w:rFonts w:hint="eastAsia"/>
          <w:sz w:val="21"/>
          <w:szCs w:val="28"/>
          <w:lang w:val="en-US" w:eastAsia="zh-CN"/>
        </w:rPr>
        <w:t>2</w:t>
      </w:r>
      <w:r>
        <w:rPr>
          <w:rFonts w:hint="eastAsia"/>
          <w:sz w:val="21"/>
          <w:szCs w:val="28"/>
        </w:rPr>
        <w:t>月</w:t>
      </w:r>
      <w:r>
        <w:rPr>
          <w:rFonts w:hint="eastAsia"/>
          <w:sz w:val="21"/>
          <w:szCs w:val="28"/>
          <w:lang w:val="en-US" w:eastAsia="zh-CN"/>
        </w:rPr>
        <w:t>25</w:t>
      </w:r>
      <w:r>
        <w:rPr>
          <w:rFonts w:hint="eastAsia"/>
          <w:sz w:val="21"/>
          <w:szCs w:val="28"/>
        </w:rPr>
        <w:t>日）</w:t>
      </w:r>
    </w:p>
    <w:p w14:paraId="50679651">
      <w:pPr>
        <w:pStyle w:val="22"/>
        <w:framePr w:w="9639" w:h="6974" w:hRule="exact" w:wrap="around" w:vAnchor="page" w:hAnchor="page" w:x="1419" w:y="6408" w:anchorLock="1"/>
        <w:spacing w:before="720" w:beforeLines="300" w:after="72" w:afterLines="30" w:line="240" w:lineRule="auto"/>
        <w:textAlignment w:val="bottom"/>
        <w:rPr>
          <w:b/>
          <w:sz w:val="21"/>
          <w:szCs w:val="28"/>
        </w:rPr>
      </w:pPr>
    </w:p>
    <w:p w14:paraId="7C78FDEE">
      <w:pPr>
        <w:pStyle w:val="23"/>
        <w:framePr w:wrap="around" w:y="14176"/>
      </w:pPr>
      <w:r>
        <w:fldChar w:fldCharType="begin">
          <w:ffData>
            <w:name w:val="PLSH_DATE_Y"/>
            <w:enabled/>
            <w:calcOnExit w:val="0"/>
            <w:textInput>
              <w:default w:val="XXXX"/>
              <w:maxLength w:val="4"/>
            </w:textInput>
          </w:ffData>
        </w:fldChar>
      </w:r>
      <w:bookmarkStart w:id="6" w:name="PLSH_DATE_Y"/>
      <w:r>
        <w:instrText xml:space="preserve"> FORMTEXT </w:instrText>
      </w:r>
      <w:r>
        <w:fldChar w:fldCharType="separate"/>
      </w:r>
      <w:r>
        <w:t>XXXX</w:t>
      </w:r>
      <w:r>
        <w:fldChar w:fldCharType="end"/>
      </w:r>
      <w:bookmarkEnd w:id="6"/>
      <w:r>
        <w:t xml:space="preserve"> - </w:t>
      </w:r>
      <w:r>
        <w:fldChar w:fldCharType="begin">
          <w:ffData>
            <w:name w:val="PLSH_DATE_M"/>
            <w:enabled/>
            <w:calcOnExit w:val="0"/>
            <w:textInput>
              <w:default w:val="XX"/>
              <w:maxLength w:val="2"/>
            </w:textInput>
          </w:ffData>
        </w:fldChar>
      </w:r>
      <w:bookmarkStart w:id="7" w:name="PLSH_DATE_M"/>
      <w:r>
        <w:instrText xml:space="preserve"> FORMTEXT </w:instrText>
      </w:r>
      <w:r>
        <w:fldChar w:fldCharType="separate"/>
      </w:r>
      <w:r>
        <w:t>XX</w:t>
      </w:r>
      <w:r>
        <w:fldChar w:fldCharType="end"/>
      </w:r>
      <w:bookmarkEnd w:id="7"/>
      <w:r>
        <w:t xml:space="preserve"> - </w:t>
      </w:r>
      <w:r>
        <w:fldChar w:fldCharType="begin">
          <w:ffData>
            <w:name w:val="PLSH_DATE_D"/>
            <w:enabled/>
            <w:calcOnExit w:val="0"/>
            <w:textInput>
              <w:default w:val="XX"/>
              <w:maxLength w:val="2"/>
            </w:textInput>
          </w:ffData>
        </w:fldChar>
      </w:r>
      <w:bookmarkStart w:id="8" w:name="PLSH_DATE_D"/>
      <w:r>
        <w:instrText xml:space="preserve"> FORMTEXT </w:instrText>
      </w:r>
      <w:r>
        <w:fldChar w:fldCharType="separate"/>
      </w:r>
      <w:r>
        <w:t>XX</w:t>
      </w:r>
      <w:r>
        <w:fldChar w:fldCharType="end"/>
      </w:r>
      <w:bookmarkEnd w:id="8"/>
      <w:r>
        <w:rPr>
          <w:rFonts w:hint="eastAsia"/>
        </w:rPr>
        <w:t>发布</w:t>
      </w:r>
    </w:p>
    <w:p w14:paraId="14C53D1A">
      <w:pPr>
        <w:pStyle w:val="25"/>
        <w:framePr w:wrap="around" w:y="14176"/>
      </w:pPr>
      <w:r>
        <w:fldChar w:fldCharType="begin">
          <w:ffData>
            <w:name w:val="CROT_DATE_Y"/>
            <w:enabled/>
            <w:calcOnExit w:val="0"/>
            <w:textInput>
              <w:default w:val="XXXX"/>
              <w:maxLength w:val="4"/>
            </w:textInput>
          </w:ffData>
        </w:fldChar>
      </w:r>
      <w:bookmarkStart w:id="9" w:name="CROT_DATE_Y"/>
      <w:r>
        <w:instrText xml:space="preserve"> FORMTEXT </w:instrText>
      </w:r>
      <w:r>
        <w:fldChar w:fldCharType="separate"/>
      </w:r>
      <w:r>
        <w:t>XXXX</w:t>
      </w:r>
      <w:r>
        <w:fldChar w:fldCharType="end"/>
      </w:r>
      <w:bookmarkEnd w:id="9"/>
      <w:r>
        <w:t xml:space="preserve"> - </w:t>
      </w:r>
      <w:r>
        <w:fldChar w:fldCharType="begin">
          <w:ffData>
            <w:name w:val="CROT_DATE_M"/>
            <w:enabled/>
            <w:calcOnExit w:val="0"/>
            <w:textInput>
              <w:default w:val="XX"/>
              <w:maxLength w:val="2"/>
            </w:textInput>
          </w:ffData>
        </w:fldChar>
      </w:r>
      <w:bookmarkStart w:id="10" w:name="CROT_DATE_M"/>
      <w:r>
        <w:instrText xml:space="preserve"> FORMTEXT </w:instrText>
      </w:r>
      <w:r>
        <w:fldChar w:fldCharType="separate"/>
      </w:r>
      <w:r>
        <w:t>XX</w:t>
      </w:r>
      <w:r>
        <w:fldChar w:fldCharType="end"/>
      </w:r>
      <w:bookmarkEnd w:id="10"/>
      <w:r>
        <w:t xml:space="preserve"> - </w:t>
      </w:r>
      <w:r>
        <w:fldChar w:fldCharType="begin">
          <w:ffData>
            <w:name w:val="CROT_DATE_D"/>
            <w:enabled/>
            <w:calcOnExit w:val="0"/>
            <w:textInput>
              <w:default w:val="XX"/>
              <w:maxLength w:val="2"/>
            </w:textInput>
          </w:ffData>
        </w:fldChar>
      </w:r>
      <w:bookmarkStart w:id="11" w:name="CROT_DATE_D"/>
      <w:r>
        <w:instrText xml:space="preserve"> FORMTEXT </w:instrText>
      </w:r>
      <w:r>
        <w:fldChar w:fldCharType="separate"/>
      </w:r>
      <w:r>
        <w:t>XX</w:t>
      </w:r>
      <w:r>
        <w:fldChar w:fldCharType="end"/>
      </w:r>
      <w:bookmarkEnd w:id="11"/>
      <w:r>
        <w:rPr>
          <w:rFonts w:hint="eastAsia"/>
        </w:rPr>
        <w:t>实施</w:t>
      </w:r>
    </w:p>
    <w:p w14:paraId="5B979AF3">
      <w:pPr>
        <w:pStyle w:val="27"/>
        <w:framePr w:h="584" w:hRule="exact" w:hSpace="181" w:vSpace="181" w:wrap="around" w:y="14800"/>
        <w:rPr>
          <w:rFonts w:ascii="Times New Roman"/>
        </w:rPr>
      </w:pPr>
      <w:r>
        <w:rPr>
          <w:rFonts w:hint="eastAsia" w:ascii="Times New Roman"/>
          <w:w w:val="100"/>
          <w:sz w:val="28"/>
        </w:rPr>
        <w:t>国家文物局</w:t>
      </w:r>
      <w:r>
        <w:rPr>
          <w:rFonts w:ascii="Times New Roman"/>
          <w:w w:val="100"/>
          <w:sz w:val="28"/>
          <w:szCs w:val="28"/>
        </w:rPr>
        <w:t>  </w:t>
      </w:r>
      <w:r>
        <w:rPr>
          <w:rStyle w:val="29"/>
          <w:rFonts w:hint="eastAsia" w:ascii="Times New Roman"/>
          <w:position w:val="0"/>
        </w:rPr>
        <w:t>发</w:t>
      </w:r>
      <w:r>
        <w:rPr>
          <w:rStyle w:val="29"/>
          <w:rFonts w:hint="eastAsia" w:ascii="Times New Roman"/>
          <w:spacing w:val="0"/>
          <w:position w:val="0"/>
        </w:rPr>
        <w:t>布</w:t>
      </w:r>
    </w:p>
    <w:p w14:paraId="648A17BA">
      <w:pPr>
        <w:rPr>
          <w:rFonts w:ascii="Times New Roman" w:hAnsi="Times New Roman"/>
          <w:sz w:val="28"/>
          <w:szCs w:val="28"/>
        </w:rPr>
        <w:sectPr>
          <w:headerReference r:id="rId7" w:type="first"/>
          <w:footerReference r:id="rId9" w:type="first"/>
          <w:headerReference r:id="rId5" w:type="default"/>
          <w:headerReference r:id="rId6" w:type="even"/>
          <w:footerReference r:id="rId8" w:type="even"/>
          <w:pgSz w:w="11906" w:h="16838"/>
          <w:pgMar w:top="567" w:right="1134" w:bottom="1021" w:left="1134" w:header="1418" w:footer="1134" w:gutter="284"/>
          <w:pgNumType w:fmt="upperRoman"/>
          <w:cols w:space="425" w:num="1"/>
          <w:titlePg/>
          <w:docGrid w:linePitch="312" w:charSpace="0"/>
        </w:sectPr>
      </w:pPr>
      <w:r>
        <w:rPr>
          <w:rFonts w:ascii="Times New Roman" w:hAnsi="Times New Roman"/>
          <w:sz w:val="28"/>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paragraph">
                  <wp:posOffset>8192770</wp:posOffset>
                </wp:positionV>
                <wp:extent cx="6315075" cy="0"/>
                <wp:effectExtent l="0" t="4445" r="0" b="5080"/>
                <wp:wrapNone/>
                <wp:docPr id="16" name="直接连接符 16"/>
                <wp:cNvGraphicFramePr/>
                <a:graphic xmlns:a="http://schemas.openxmlformats.org/drawingml/2006/main">
                  <a:graphicData uri="http://schemas.microsoft.com/office/word/2010/wordprocessingShape">
                    <wps:wsp>
                      <wps:cNvCnPr/>
                      <wps:spPr>
                        <a:xfrm>
                          <a:off x="867410" y="9451975"/>
                          <a:ext cx="63150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35pt;margin-top:645.1pt;height:0pt;width:497.25pt;z-index:251662336;mso-width-relative:page;mso-height-relative:page;" filled="f" stroked="t" coordsize="21600,21600" o:gfxdata="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&#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XY+1wAAAA0BAAAPAAAAAAAAAAEAIAAAACIAAABk&#10;cnMvZG93bnJldi54bWxQSwECFAAUAAAACACHTuJAkBWa184BAAB3AwAADgAAAAAAAAABACAAAAAm&#10;AQAAZHJzL2Uyb0RvYy54bWxQSwUGAAAAAAYABgBZAQAAZgUAAAAA&#10;">
                <v:fill on="f" focussize="0,0"/>
                <v:stroke color="#000000" joinstyle="round"/>
                <v:imagedata o:title=""/>
                <o:lock v:ext="edit" aspectratio="f"/>
              </v:line>
            </w:pict>
          </mc:Fallback>
        </mc:AlternateContent>
      </w:r>
    </w:p>
    <w:sdt>
      <w:sdtPr>
        <w:rPr>
          <w:rFonts w:ascii="Times New Roman" w:hAnsi="Times New Roman"/>
        </w:rPr>
        <w:id w:val="147468500"/>
        <w15:color w:val="DBDBDB"/>
        <w:docPartObj>
          <w:docPartGallery w:val="Table of Contents"/>
          <w:docPartUnique/>
        </w:docPartObj>
      </w:sdtPr>
      <w:sdtEndPr>
        <w:rPr>
          <w:rFonts w:ascii="Times New Roman" w:hAnsi="Times New Roman"/>
          <w:b/>
        </w:rPr>
      </w:sdtEndPr>
      <w:sdtContent>
        <w:p w14:paraId="0C7E5FE4">
          <w:pPr>
            <w:jc w:val="center"/>
            <w:rPr>
              <w:rFonts w:ascii="Times New Roman" w:hAnsi="Times New Roman" w:eastAsia="黑体" w:cs="黑体"/>
              <w:b/>
              <w:bCs/>
              <w:spacing w:val="320"/>
              <w:sz w:val="32"/>
              <w:szCs w:val="32"/>
            </w:rPr>
          </w:pPr>
        </w:p>
      </w:sdtContent>
    </w:sdt>
    <w:p w14:paraId="0EE9082E">
      <w:pPr>
        <w:jc w:val="center"/>
        <w:rPr>
          <w:rFonts w:ascii="Times New Roman" w:hAnsi="Times New Roman" w:eastAsia="黑体" w:cs="黑体"/>
          <w:b/>
          <w:bCs/>
          <w:sz w:val="32"/>
          <w:szCs w:val="32"/>
        </w:rPr>
      </w:pPr>
      <w:r>
        <w:rPr>
          <w:rFonts w:hint="eastAsia" w:ascii="Times New Roman" w:hAnsi="Times New Roman" w:eastAsia="黑体" w:cs="黑体"/>
          <w:b/>
          <w:bCs/>
          <w:spacing w:val="320"/>
          <w:sz w:val="32"/>
          <w:szCs w:val="32"/>
        </w:rPr>
        <w:t>目</w:t>
      </w:r>
      <w:r>
        <w:rPr>
          <w:rFonts w:hint="eastAsia" w:ascii="Times New Roman" w:hAnsi="Times New Roman" w:eastAsia="黑体" w:cs="黑体"/>
          <w:b/>
          <w:bCs/>
          <w:sz w:val="32"/>
          <w:szCs w:val="32"/>
        </w:rPr>
        <w:t>次</w:t>
      </w:r>
    </w:p>
    <w:sdt>
      <w:sdtPr>
        <w:rPr>
          <w:rFonts w:ascii="Times New Roman" w:hAnsi="Times New Roman"/>
        </w:rPr>
        <w:id w:val="147463099"/>
        <w15:color w:val="DBDBDB"/>
        <w:docPartObj>
          <w:docPartGallery w:val="Table of Contents"/>
          <w:docPartUnique/>
        </w:docPartObj>
      </w:sdtPr>
      <w:sdtEndPr>
        <w:rPr>
          <w:rFonts w:ascii="Times New Roman" w:hAnsi="Times New Roman"/>
          <w:b/>
        </w:rPr>
      </w:sdtEndPr>
      <w:sdtContent>
        <w:p w14:paraId="28FA3D97">
          <w:pPr>
            <w:jc w:val="center"/>
            <w:rPr>
              <w:rFonts w:ascii="Times New Roman" w:hAnsi="Times New Roman"/>
            </w:rPr>
          </w:pPr>
          <w:bookmarkStart w:id="12" w:name="_Toc16764"/>
          <w:bookmarkStart w:id="13" w:name="_Toc16832"/>
          <w:bookmarkStart w:id="14" w:name="_Toc28762"/>
          <w:bookmarkStart w:id="15" w:name="_Toc30077"/>
          <w:bookmarkStart w:id="16" w:name="_Toc9676"/>
          <w:bookmarkStart w:id="17" w:name="BookMark2"/>
        </w:p>
        <w:p w14:paraId="400D6B2D">
          <w:pPr>
            <w:pStyle w:val="7"/>
            <w:tabs>
              <w:tab w:val="right" w:leader="dot" w:pos="9354"/>
            </w:tabs>
          </w:pPr>
          <w:r>
            <w:fldChar w:fldCharType="begin"/>
          </w:r>
          <w:r>
            <w:instrText xml:space="preserve">TOC \o "1-2" \h \u </w:instrText>
          </w:r>
          <w:r>
            <w:fldChar w:fldCharType="separate"/>
          </w:r>
          <w:r>
            <w:fldChar w:fldCharType="begin"/>
          </w:r>
          <w:r>
            <w:instrText xml:space="preserve"> HYPERLINK \l "_Toc8686" </w:instrText>
          </w:r>
          <w:r>
            <w:fldChar w:fldCharType="separate"/>
          </w:r>
          <w:r>
            <w:rPr>
              <w:spacing w:val="320"/>
            </w:rPr>
            <w:t>前</w:t>
          </w:r>
          <w:r>
            <w:t>言</w:t>
          </w:r>
          <w:r>
            <w:tab/>
          </w:r>
          <w:r>
            <w:fldChar w:fldCharType="begin"/>
          </w:r>
          <w:r>
            <w:instrText xml:space="preserve"> PAGEREF _Toc8686 \h </w:instrText>
          </w:r>
          <w:r>
            <w:fldChar w:fldCharType="separate"/>
          </w:r>
          <w:r>
            <w:t>I</w:t>
          </w:r>
          <w:r>
            <w:fldChar w:fldCharType="end"/>
          </w:r>
          <w:r>
            <w:fldChar w:fldCharType="end"/>
          </w:r>
        </w:p>
        <w:p w14:paraId="0F9C6673">
          <w:pPr>
            <w:pStyle w:val="7"/>
            <w:tabs>
              <w:tab w:val="right" w:leader="dot" w:pos="9354"/>
            </w:tabs>
          </w:pPr>
          <w:r>
            <w:fldChar w:fldCharType="begin"/>
          </w:r>
          <w:r>
            <w:instrText xml:space="preserve"> HYPERLINK \l "_Toc2149" </w:instrText>
          </w:r>
          <w:r>
            <w:fldChar w:fldCharType="separate"/>
          </w:r>
          <w:r>
            <w:rPr>
              <w:spacing w:val="320"/>
            </w:rPr>
            <w:t>引</w:t>
          </w:r>
          <w:r>
            <w:t>言</w:t>
          </w:r>
          <w:r>
            <w:tab/>
          </w:r>
          <w:r>
            <w:fldChar w:fldCharType="begin"/>
          </w:r>
          <w:r>
            <w:instrText xml:space="preserve"> PAGEREF _Toc2149 \h </w:instrText>
          </w:r>
          <w:r>
            <w:fldChar w:fldCharType="separate"/>
          </w:r>
          <w:r>
            <w:t>II</w:t>
          </w:r>
          <w:r>
            <w:fldChar w:fldCharType="end"/>
          </w:r>
          <w:r>
            <w:fldChar w:fldCharType="end"/>
          </w:r>
        </w:p>
        <w:p w14:paraId="2A7730E2">
          <w:pPr>
            <w:pStyle w:val="7"/>
            <w:tabs>
              <w:tab w:val="right" w:leader="dot" w:pos="9354"/>
            </w:tabs>
          </w:pPr>
          <w:r>
            <w:fldChar w:fldCharType="begin"/>
          </w:r>
          <w:r>
            <w:instrText xml:space="preserve"> HYPERLINK \l "_Toc31465" </w:instrText>
          </w:r>
          <w:r>
            <w:fldChar w:fldCharType="separate"/>
          </w:r>
          <w:r>
            <w:rPr>
              <w:rFonts w:hint="eastAsia" w:eastAsia="黑体"/>
            </w:rPr>
            <w:t xml:space="preserve">1 </w:t>
          </w:r>
          <w:r>
            <w:rPr>
              <w:rFonts w:hint="eastAsia"/>
            </w:rPr>
            <w:t>范围</w:t>
          </w:r>
          <w:r>
            <w:tab/>
          </w:r>
          <w:r>
            <w:fldChar w:fldCharType="begin"/>
          </w:r>
          <w:r>
            <w:instrText xml:space="preserve"> PAGEREF _Toc31465 \h </w:instrText>
          </w:r>
          <w:r>
            <w:fldChar w:fldCharType="separate"/>
          </w:r>
          <w:r>
            <w:t>1</w:t>
          </w:r>
          <w:r>
            <w:fldChar w:fldCharType="end"/>
          </w:r>
          <w:r>
            <w:fldChar w:fldCharType="end"/>
          </w:r>
        </w:p>
        <w:p w14:paraId="2E8DAE04">
          <w:pPr>
            <w:pStyle w:val="7"/>
            <w:tabs>
              <w:tab w:val="right" w:leader="dot" w:pos="9354"/>
            </w:tabs>
          </w:pPr>
          <w:r>
            <w:fldChar w:fldCharType="begin"/>
          </w:r>
          <w:r>
            <w:instrText xml:space="preserve"> HYPERLINK \l "_Toc7509" </w:instrText>
          </w:r>
          <w:r>
            <w:fldChar w:fldCharType="separate"/>
          </w:r>
          <w:r>
            <w:rPr>
              <w:rFonts w:hint="eastAsia" w:eastAsia="黑体"/>
            </w:rPr>
            <w:t xml:space="preserve">2 </w:t>
          </w:r>
          <w:r>
            <w:rPr>
              <w:rFonts w:hint="eastAsia"/>
            </w:rPr>
            <w:t>规范性引用文件</w:t>
          </w:r>
          <w:r>
            <w:tab/>
          </w:r>
          <w:r>
            <w:fldChar w:fldCharType="begin"/>
          </w:r>
          <w:r>
            <w:instrText xml:space="preserve"> PAGEREF _Toc7509 \h </w:instrText>
          </w:r>
          <w:r>
            <w:fldChar w:fldCharType="separate"/>
          </w:r>
          <w:r>
            <w:t>1</w:t>
          </w:r>
          <w:r>
            <w:fldChar w:fldCharType="end"/>
          </w:r>
          <w:r>
            <w:fldChar w:fldCharType="end"/>
          </w:r>
        </w:p>
        <w:p w14:paraId="1B9FED77">
          <w:pPr>
            <w:pStyle w:val="7"/>
            <w:tabs>
              <w:tab w:val="right" w:leader="dot" w:pos="9354"/>
            </w:tabs>
          </w:pPr>
          <w:r>
            <w:fldChar w:fldCharType="begin"/>
          </w:r>
          <w:r>
            <w:instrText xml:space="preserve"> HYPERLINK \l "_Toc17682" </w:instrText>
          </w:r>
          <w:r>
            <w:fldChar w:fldCharType="separate"/>
          </w:r>
          <w:r>
            <w:rPr>
              <w:rFonts w:hint="eastAsia" w:eastAsia="黑体"/>
            </w:rPr>
            <w:t xml:space="preserve">3 </w:t>
          </w:r>
          <w:r>
            <w:rPr>
              <w:rFonts w:hint="eastAsia"/>
            </w:rPr>
            <w:t>术语和定义</w:t>
          </w:r>
          <w:r>
            <w:tab/>
          </w:r>
          <w:r>
            <w:fldChar w:fldCharType="begin"/>
          </w:r>
          <w:r>
            <w:instrText xml:space="preserve"> PAGEREF _Toc17682 \h </w:instrText>
          </w:r>
          <w:r>
            <w:fldChar w:fldCharType="separate"/>
          </w:r>
          <w:r>
            <w:t>1</w:t>
          </w:r>
          <w:r>
            <w:fldChar w:fldCharType="end"/>
          </w:r>
          <w:r>
            <w:fldChar w:fldCharType="end"/>
          </w:r>
        </w:p>
        <w:p w14:paraId="2CEE9AF7">
          <w:pPr>
            <w:pStyle w:val="7"/>
            <w:tabs>
              <w:tab w:val="right" w:leader="dot" w:pos="9354"/>
            </w:tabs>
          </w:pPr>
          <w:r>
            <w:fldChar w:fldCharType="begin"/>
          </w:r>
          <w:r>
            <w:instrText xml:space="preserve"> HYPERLINK \l "_Toc27145" </w:instrText>
          </w:r>
          <w:r>
            <w:fldChar w:fldCharType="separate"/>
          </w:r>
          <w:r>
            <w:rPr>
              <w:rFonts w:hint="eastAsia" w:eastAsia="黑体"/>
            </w:rPr>
            <w:t xml:space="preserve">4 </w:t>
          </w:r>
          <w:r>
            <w:rPr>
              <w:rFonts w:hint="eastAsia"/>
            </w:rPr>
            <w:t>基本要求</w:t>
          </w:r>
          <w:r>
            <w:tab/>
          </w:r>
          <w:r>
            <w:fldChar w:fldCharType="begin"/>
          </w:r>
          <w:r>
            <w:instrText xml:space="preserve"> PAGEREF _Toc27145 \h </w:instrText>
          </w:r>
          <w:r>
            <w:fldChar w:fldCharType="separate"/>
          </w:r>
          <w:r>
            <w:t>2</w:t>
          </w:r>
          <w:r>
            <w:fldChar w:fldCharType="end"/>
          </w:r>
          <w:r>
            <w:fldChar w:fldCharType="end"/>
          </w:r>
        </w:p>
        <w:p w14:paraId="02A49207">
          <w:pPr>
            <w:pStyle w:val="7"/>
            <w:tabs>
              <w:tab w:val="right" w:leader="dot" w:pos="9354"/>
            </w:tabs>
          </w:pPr>
          <w:r>
            <w:fldChar w:fldCharType="begin"/>
          </w:r>
          <w:r>
            <w:instrText xml:space="preserve"> HYPERLINK \l "_Toc2825" </w:instrText>
          </w:r>
          <w:r>
            <w:fldChar w:fldCharType="separate"/>
          </w:r>
          <w:r>
            <w:rPr>
              <w:rFonts w:hint="eastAsia" w:eastAsia="黑体"/>
            </w:rPr>
            <w:t xml:space="preserve">5 </w:t>
          </w:r>
          <w:r>
            <w:rPr>
              <w:rFonts w:hint="eastAsia"/>
            </w:rPr>
            <w:t>机构、岗位和人员</w:t>
          </w:r>
          <w:r>
            <w:tab/>
          </w:r>
          <w:r>
            <w:fldChar w:fldCharType="begin"/>
          </w:r>
          <w:r>
            <w:instrText xml:space="preserve"> PAGEREF _Toc2825 \h </w:instrText>
          </w:r>
          <w:r>
            <w:fldChar w:fldCharType="separate"/>
          </w:r>
          <w:r>
            <w:t>2</w:t>
          </w:r>
          <w:r>
            <w:fldChar w:fldCharType="end"/>
          </w:r>
          <w:r>
            <w:fldChar w:fldCharType="end"/>
          </w:r>
        </w:p>
        <w:p w14:paraId="399E755E">
          <w:pPr>
            <w:pStyle w:val="8"/>
            <w:tabs>
              <w:tab w:val="right" w:leader="dot" w:pos="9354"/>
              <w:tab w:val="clear" w:pos="9344"/>
            </w:tabs>
            <w:rPr>
              <w:rFonts w:ascii="Times New Roman" w:hAnsi="Times New Roman"/>
            </w:rPr>
          </w:pPr>
          <w:r>
            <w:fldChar w:fldCharType="begin"/>
          </w:r>
          <w:r>
            <w:instrText xml:space="preserve"> HYPERLINK \l "_Toc2827" </w:instrText>
          </w:r>
          <w:r>
            <w:fldChar w:fldCharType="separate"/>
          </w:r>
          <w:r>
            <w:rPr>
              <w:rFonts w:hint="eastAsia" w:ascii="Times New Roman" w:hAnsi="Times New Roman"/>
              <w:bCs/>
            </w:rPr>
            <w:t>5.1机构</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_Toc2827 \h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fldChar w:fldCharType="end"/>
          </w:r>
        </w:p>
        <w:p w14:paraId="40A1B9BB">
          <w:pPr>
            <w:pStyle w:val="8"/>
            <w:tabs>
              <w:tab w:val="right" w:leader="dot" w:pos="9354"/>
              <w:tab w:val="clear" w:pos="9344"/>
            </w:tabs>
            <w:rPr>
              <w:rFonts w:ascii="Times New Roman" w:hAnsi="Times New Roman"/>
            </w:rPr>
          </w:pPr>
          <w:r>
            <w:fldChar w:fldCharType="begin"/>
          </w:r>
          <w:r>
            <w:instrText xml:space="preserve"> HYPERLINK \l "_Toc27123" </w:instrText>
          </w:r>
          <w:r>
            <w:fldChar w:fldCharType="separate"/>
          </w:r>
          <w:r>
            <w:rPr>
              <w:rFonts w:hint="eastAsia" w:ascii="Times New Roman" w:hAnsi="Times New Roman"/>
              <w:bCs/>
            </w:rPr>
            <w:t>5.2岗位和人员</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_Toc27123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fldChar w:fldCharType="end"/>
          </w:r>
        </w:p>
        <w:p w14:paraId="068BBC11">
          <w:pPr>
            <w:pStyle w:val="7"/>
            <w:tabs>
              <w:tab w:val="right" w:leader="dot" w:pos="9354"/>
            </w:tabs>
          </w:pPr>
          <w:r>
            <w:fldChar w:fldCharType="begin"/>
          </w:r>
          <w:r>
            <w:instrText xml:space="preserve"> HYPERLINK \l "_Toc22693" </w:instrText>
          </w:r>
          <w:r>
            <w:fldChar w:fldCharType="separate"/>
          </w:r>
          <w:r>
            <w:rPr>
              <w:rFonts w:hint="eastAsia" w:eastAsia="黑体"/>
            </w:rPr>
            <w:t xml:space="preserve">6 </w:t>
          </w:r>
          <w:r>
            <w:rPr>
              <w:rFonts w:hint="eastAsia"/>
            </w:rPr>
            <w:t>制度管理</w:t>
          </w:r>
          <w:r>
            <w:tab/>
          </w:r>
          <w:r>
            <w:fldChar w:fldCharType="begin"/>
          </w:r>
          <w:r>
            <w:instrText xml:space="preserve"> PAGEREF _Toc22693 \h </w:instrText>
          </w:r>
          <w:r>
            <w:fldChar w:fldCharType="separate"/>
          </w:r>
          <w:r>
            <w:t>4</w:t>
          </w:r>
          <w:r>
            <w:fldChar w:fldCharType="end"/>
          </w:r>
          <w:r>
            <w:fldChar w:fldCharType="end"/>
          </w:r>
        </w:p>
        <w:p w14:paraId="45EA4467">
          <w:pPr>
            <w:pStyle w:val="7"/>
            <w:tabs>
              <w:tab w:val="right" w:leader="dot" w:pos="9354"/>
            </w:tabs>
          </w:pPr>
          <w:r>
            <w:fldChar w:fldCharType="begin"/>
          </w:r>
          <w:r>
            <w:instrText xml:space="preserve"> HYPERLINK \l "_Toc12733" </w:instrText>
          </w:r>
          <w:r>
            <w:fldChar w:fldCharType="separate"/>
          </w:r>
          <w:r>
            <w:rPr>
              <w:rFonts w:hint="eastAsia" w:eastAsia="黑体"/>
            </w:rPr>
            <w:t xml:space="preserve">7 </w:t>
          </w:r>
          <w:r>
            <w:rPr>
              <w:rFonts w:hint="eastAsia"/>
            </w:rPr>
            <w:t>日常管理</w:t>
          </w:r>
          <w:r>
            <w:tab/>
          </w:r>
          <w:r>
            <w:fldChar w:fldCharType="begin"/>
          </w:r>
          <w:r>
            <w:instrText xml:space="preserve"> PAGEREF _Toc12733 \h </w:instrText>
          </w:r>
          <w:r>
            <w:fldChar w:fldCharType="separate"/>
          </w:r>
          <w:r>
            <w:t>4</w:t>
          </w:r>
          <w:r>
            <w:fldChar w:fldCharType="end"/>
          </w:r>
          <w:r>
            <w:fldChar w:fldCharType="end"/>
          </w:r>
        </w:p>
        <w:p w14:paraId="0E493EC7">
          <w:pPr>
            <w:pStyle w:val="8"/>
            <w:tabs>
              <w:tab w:val="right" w:leader="dot" w:pos="9354"/>
              <w:tab w:val="clear" w:pos="9344"/>
            </w:tabs>
            <w:rPr>
              <w:rFonts w:ascii="Times New Roman" w:hAnsi="Times New Roman"/>
            </w:rPr>
          </w:pPr>
          <w:r>
            <w:fldChar w:fldCharType="begin"/>
          </w:r>
          <w:r>
            <w:instrText xml:space="preserve"> HYPERLINK \l "_Toc8345" </w:instrText>
          </w:r>
          <w:r>
            <w:fldChar w:fldCharType="separate"/>
          </w:r>
          <w:r>
            <w:rPr>
              <w:rFonts w:ascii="Times New Roman" w:hAnsi="Times New Roman" w:eastAsia="黑体"/>
              <w:kern w:val="0"/>
              <w14:scene3d>
                <w14:lightRig w14:rig="threePt" w14:dir="t">
                  <w14:rot w14:lat="0" w14:lon="0" w14:rev="0"/>
                </w14:lightRig>
              </w14:scene3d>
            </w:rPr>
            <w:t xml:space="preserve">7.1 </w:t>
          </w:r>
          <w:r>
            <w:rPr>
              <w:rFonts w:hint="eastAsia" w:ascii="Times New Roman" w:hAnsi="Times New Roman"/>
            </w:rPr>
            <w:t>开闭馆管理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_Toc8345 \h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fldChar w:fldCharType="end"/>
          </w:r>
        </w:p>
        <w:p w14:paraId="2D0AD78A">
          <w:pPr>
            <w:pStyle w:val="8"/>
            <w:tabs>
              <w:tab w:val="right" w:leader="dot" w:pos="9354"/>
              <w:tab w:val="clear" w:pos="9344"/>
            </w:tabs>
            <w:rPr>
              <w:rFonts w:ascii="Times New Roman" w:hAnsi="Times New Roman"/>
            </w:rPr>
          </w:pPr>
          <w:r>
            <w:fldChar w:fldCharType="begin"/>
          </w:r>
          <w:r>
            <w:instrText xml:space="preserve"> HYPERLINK \l "_Toc26760" </w:instrText>
          </w:r>
          <w:r>
            <w:fldChar w:fldCharType="separate"/>
          </w:r>
          <w:r>
            <w:rPr>
              <w:rFonts w:ascii="Times New Roman" w:hAnsi="Times New Roman" w:eastAsia="黑体"/>
              <w:kern w:val="0"/>
              <w:lang w:val="en-GB"/>
              <w14:scene3d>
                <w14:lightRig w14:rig="threePt" w14:dir="t">
                  <w14:rot w14:lat="0" w14:lon="0" w14:rev="0"/>
                </w14:lightRig>
              </w14:scene3d>
            </w:rPr>
            <w:t xml:space="preserve">7.2 </w:t>
          </w:r>
          <w:r>
            <w:rPr>
              <w:rFonts w:ascii="Times New Roman" w:hAnsi="Times New Roman"/>
            </w:rPr>
            <w:t>出入口管理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_Toc26760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54CBCA43">
          <w:pPr>
            <w:pStyle w:val="8"/>
            <w:tabs>
              <w:tab w:val="right" w:leader="dot" w:pos="9354"/>
              <w:tab w:val="clear" w:pos="9344"/>
            </w:tabs>
            <w:rPr>
              <w:rFonts w:ascii="Times New Roman" w:hAnsi="Times New Roman"/>
            </w:rPr>
          </w:pPr>
          <w:r>
            <w:fldChar w:fldCharType="begin"/>
          </w:r>
          <w:r>
            <w:instrText xml:space="preserve"> HYPERLINK \l "_Toc2655" </w:instrText>
          </w:r>
          <w:r>
            <w:fldChar w:fldCharType="separate"/>
          </w:r>
          <w:r>
            <w:rPr>
              <w:rFonts w:ascii="Times New Roman" w:hAnsi="Times New Roman" w:eastAsia="黑体"/>
              <w:kern w:val="0"/>
              <w14:scene3d>
                <w14:lightRig w14:rig="threePt" w14:dir="t">
                  <w14:rot w14:lat="0" w14:lon="0" w14:rev="0"/>
                </w14:lightRig>
              </w14:scene3d>
            </w:rPr>
            <w:t xml:space="preserve">7.3 </w:t>
          </w:r>
          <w:r>
            <w:rPr>
              <w:rFonts w:hint="eastAsia" w:ascii="Times New Roman" w:hAnsi="Times New Roman"/>
            </w:rPr>
            <w:t>安全检查管理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_Toc2655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14:paraId="34CA8887">
          <w:pPr>
            <w:pStyle w:val="8"/>
            <w:tabs>
              <w:tab w:val="right" w:leader="dot" w:pos="9354"/>
              <w:tab w:val="clear" w:pos="9344"/>
            </w:tabs>
            <w:rPr>
              <w:rFonts w:ascii="Times New Roman" w:hAnsi="Times New Roman"/>
            </w:rPr>
          </w:pPr>
          <w:r>
            <w:fldChar w:fldCharType="begin"/>
          </w:r>
          <w:r>
            <w:instrText xml:space="preserve"> HYPERLINK \l "_Toc21087" </w:instrText>
          </w:r>
          <w:r>
            <w:fldChar w:fldCharType="separate"/>
          </w:r>
          <w:r>
            <w:rPr>
              <w:rFonts w:ascii="Times New Roman" w:hAnsi="Times New Roman" w:eastAsia="黑体"/>
              <w:kern w:val="0"/>
              <w14:scene3d>
                <w14:lightRig w14:rig="threePt" w14:dir="t">
                  <w14:rot w14:lat="0" w14:lon="0" w14:rev="0"/>
                </w14:lightRig>
              </w14:scene3d>
            </w:rPr>
            <w:t xml:space="preserve">7.4 </w:t>
          </w:r>
          <w:r>
            <w:rPr>
              <w:rFonts w:hint="eastAsia" w:ascii="Times New Roman" w:hAnsi="Times New Roman"/>
            </w:rPr>
            <w:t>值班值守管理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_Toc21087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1BE3CE5C">
          <w:pPr>
            <w:pStyle w:val="8"/>
            <w:tabs>
              <w:tab w:val="right" w:leader="dot" w:pos="9354"/>
              <w:tab w:val="clear" w:pos="9344"/>
            </w:tabs>
            <w:rPr>
              <w:rFonts w:ascii="Times New Roman" w:hAnsi="Times New Roman"/>
            </w:rPr>
          </w:pPr>
          <w:r>
            <w:fldChar w:fldCharType="begin"/>
          </w:r>
          <w:r>
            <w:instrText xml:space="preserve"> HYPERLINK \l "_Toc25218" </w:instrText>
          </w:r>
          <w:r>
            <w:fldChar w:fldCharType="separate"/>
          </w:r>
          <w:r>
            <w:rPr>
              <w:rFonts w:ascii="Times New Roman" w:hAnsi="Times New Roman" w:eastAsia="黑体"/>
              <w:kern w:val="0"/>
              <w14:scene3d>
                <w14:lightRig w14:rig="threePt" w14:dir="t">
                  <w14:rot w14:lat="0" w14:lon="0" w14:rev="0"/>
                </w14:lightRig>
              </w14:scene3d>
            </w:rPr>
            <w:t xml:space="preserve">7.5 </w:t>
          </w:r>
          <w:r>
            <w:rPr>
              <w:rFonts w:hint="eastAsia" w:ascii="Times New Roman" w:hAnsi="Times New Roman"/>
            </w:rPr>
            <w:t>钥匙和门锁管理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_Toc25218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2C7A9609">
          <w:pPr>
            <w:pStyle w:val="8"/>
            <w:tabs>
              <w:tab w:val="right" w:leader="dot" w:pos="9354"/>
              <w:tab w:val="clear" w:pos="9344"/>
            </w:tabs>
            <w:rPr>
              <w:rFonts w:ascii="Times New Roman" w:hAnsi="Times New Roman"/>
            </w:rPr>
          </w:pPr>
          <w:r>
            <w:fldChar w:fldCharType="begin"/>
          </w:r>
          <w:r>
            <w:instrText xml:space="preserve"> HYPERLINK \l "_Toc26528" </w:instrText>
          </w:r>
          <w:r>
            <w:fldChar w:fldCharType="separate"/>
          </w:r>
          <w:r>
            <w:rPr>
              <w:rFonts w:ascii="Times New Roman" w:hAnsi="Times New Roman" w:eastAsia="黑体"/>
              <w:kern w:val="0"/>
              <w14:scene3d>
                <w14:lightRig w14:rig="threePt" w14:dir="t">
                  <w14:rot w14:lat="0" w14:lon="0" w14:rev="0"/>
                </w14:lightRig>
              </w14:scene3d>
            </w:rPr>
            <w:t xml:space="preserve">7.6 </w:t>
          </w:r>
          <w:r>
            <w:rPr>
              <w:rFonts w:hint="eastAsia" w:ascii="Times New Roman" w:hAnsi="Times New Roman"/>
            </w:rPr>
            <w:t>证件管理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_Toc26528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3834EA70">
          <w:pPr>
            <w:pStyle w:val="8"/>
            <w:tabs>
              <w:tab w:val="right" w:leader="dot" w:pos="9354"/>
              <w:tab w:val="clear" w:pos="9344"/>
            </w:tabs>
            <w:rPr>
              <w:rFonts w:ascii="Times New Roman" w:hAnsi="Times New Roman"/>
            </w:rPr>
          </w:pPr>
          <w:r>
            <w:fldChar w:fldCharType="begin"/>
          </w:r>
          <w:r>
            <w:instrText xml:space="preserve"> HYPERLINK \l "_Toc11743" </w:instrText>
          </w:r>
          <w:r>
            <w:fldChar w:fldCharType="separate"/>
          </w:r>
          <w:r>
            <w:rPr>
              <w:rFonts w:ascii="Times New Roman" w:hAnsi="Times New Roman" w:eastAsia="黑体"/>
              <w:kern w:val="0"/>
              <w14:scene3d>
                <w14:lightRig w14:rig="threePt" w14:dir="t">
                  <w14:rot w14:lat="0" w14:lon="0" w14:rev="0"/>
                </w14:lightRig>
              </w14:scene3d>
            </w:rPr>
            <w:t xml:space="preserve">7.7 </w:t>
          </w:r>
          <w:r>
            <w:rPr>
              <w:rFonts w:hint="eastAsia" w:ascii="Times New Roman" w:hAnsi="Times New Roman"/>
            </w:rPr>
            <w:t>电子防范系统管理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_Toc11743 \h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fldChar w:fldCharType="end"/>
          </w:r>
        </w:p>
        <w:p w14:paraId="668419D3">
          <w:pPr>
            <w:pStyle w:val="8"/>
            <w:tabs>
              <w:tab w:val="right" w:leader="dot" w:pos="9354"/>
              <w:tab w:val="clear" w:pos="9344"/>
            </w:tabs>
            <w:rPr>
              <w:rFonts w:ascii="Times New Roman" w:hAnsi="Times New Roman"/>
            </w:rPr>
          </w:pPr>
          <w:r>
            <w:fldChar w:fldCharType="begin"/>
          </w:r>
          <w:r>
            <w:instrText xml:space="preserve"> HYPERLINK \l "_Toc14281" </w:instrText>
          </w:r>
          <w:r>
            <w:fldChar w:fldCharType="separate"/>
          </w:r>
          <w:r>
            <w:rPr>
              <w:rFonts w:ascii="Times New Roman" w:hAnsi="Times New Roman"/>
            </w:rPr>
            <w:t>7.8 布撤展安全管理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_Toc14281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534233CE">
          <w:pPr>
            <w:pStyle w:val="8"/>
            <w:tabs>
              <w:tab w:val="right" w:leader="dot" w:pos="9354"/>
              <w:tab w:val="clear" w:pos="9344"/>
            </w:tabs>
            <w:rPr>
              <w:rFonts w:ascii="Times New Roman" w:hAnsi="Times New Roman"/>
            </w:rPr>
          </w:pPr>
          <w:r>
            <w:fldChar w:fldCharType="begin"/>
          </w:r>
          <w:r>
            <w:instrText xml:space="preserve"> HYPERLINK \l "_Toc11209" </w:instrText>
          </w:r>
          <w:r>
            <w:fldChar w:fldCharType="separate"/>
          </w:r>
          <w:r>
            <w:rPr>
              <w:rFonts w:ascii="Times New Roman" w:hAnsi="Times New Roman"/>
            </w:rPr>
            <w:t>7.9 重点部位安全管理</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_Toc11209 \h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fldChar w:fldCharType="end"/>
          </w:r>
        </w:p>
        <w:p w14:paraId="2B8693AA">
          <w:pPr>
            <w:pStyle w:val="8"/>
            <w:tabs>
              <w:tab w:val="right" w:leader="dot" w:pos="9354"/>
              <w:tab w:val="clear" w:pos="9344"/>
            </w:tabs>
            <w:rPr>
              <w:rFonts w:ascii="Times New Roman" w:hAnsi="Times New Roman"/>
            </w:rPr>
          </w:pPr>
          <w:r>
            <w:fldChar w:fldCharType="begin"/>
          </w:r>
          <w:r>
            <w:instrText xml:space="preserve"> HYPERLINK \l "_Toc25474" </w:instrText>
          </w:r>
          <w:r>
            <w:fldChar w:fldCharType="separate"/>
          </w:r>
          <w:r>
            <w:rPr>
              <w:rFonts w:ascii="Times New Roman" w:hAnsi="Times New Roman" w:eastAsia="黑体"/>
              <w:kern w:val="0"/>
              <w14:scene3d>
                <w14:lightRig w14:rig="threePt" w14:dir="t">
                  <w14:rot w14:lat="0" w14:lon="0" w14:rev="0"/>
                </w14:lightRig>
              </w14:scene3d>
            </w:rPr>
            <w:t xml:space="preserve">7.10 </w:t>
          </w:r>
          <w:r>
            <w:rPr>
              <w:rFonts w:ascii="Times New Roman" w:hAnsi="Times New Roman"/>
            </w:rPr>
            <w:t>临时性活动</w:t>
          </w:r>
          <w:r>
            <w:rPr>
              <w:rFonts w:hint="eastAsia" w:ascii="Times New Roman" w:hAnsi="Times New Roman"/>
            </w:rPr>
            <w:t>安全监管</w:t>
          </w:r>
          <w:r>
            <w:rPr>
              <w:rFonts w:ascii="Times New Roman" w:hAnsi="Times New Roman"/>
            </w:rPr>
            <w:tab/>
          </w:r>
          <w:r>
            <w:rPr>
              <w:rFonts w:ascii="Times New Roman" w:hAnsi="Times New Roman"/>
            </w:rPr>
            <w:fldChar w:fldCharType="begin"/>
          </w:r>
          <w:r>
            <w:rPr>
              <w:rFonts w:ascii="Times New Roman" w:hAnsi="Times New Roman"/>
            </w:rPr>
            <w:instrText xml:space="preserve"> PAGEREF _Toc25474 \h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fldChar w:fldCharType="end"/>
          </w:r>
        </w:p>
        <w:p w14:paraId="735D6B63">
          <w:pPr>
            <w:pStyle w:val="7"/>
            <w:tabs>
              <w:tab w:val="right" w:leader="dot" w:pos="9354"/>
            </w:tabs>
          </w:pPr>
          <w:r>
            <w:fldChar w:fldCharType="begin"/>
          </w:r>
          <w:r>
            <w:instrText xml:space="preserve"> HYPERLINK \l "_Toc26208" </w:instrText>
          </w:r>
          <w:r>
            <w:fldChar w:fldCharType="separate"/>
          </w:r>
          <w:r>
            <w:rPr>
              <w:rFonts w:hint="eastAsia" w:eastAsia="黑体"/>
            </w:rPr>
            <w:t xml:space="preserve">8 </w:t>
          </w:r>
          <w:r>
            <w:rPr>
              <w:rFonts w:hint="eastAsia"/>
            </w:rPr>
            <w:t>应急管理</w:t>
          </w:r>
          <w:r>
            <w:tab/>
          </w:r>
          <w:r>
            <w:fldChar w:fldCharType="begin"/>
          </w:r>
          <w:r>
            <w:instrText xml:space="preserve"> PAGEREF _Toc26208 \h </w:instrText>
          </w:r>
          <w:r>
            <w:fldChar w:fldCharType="separate"/>
          </w:r>
          <w:r>
            <w:t>8</w:t>
          </w:r>
          <w:r>
            <w:fldChar w:fldCharType="end"/>
          </w:r>
          <w:r>
            <w:fldChar w:fldCharType="end"/>
          </w:r>
        </w:p>
        <w:p w14:paraId="7FD9C95B">
          <w:pPr>
            <w:pStyle w:val="7"/>
            <w:tabs>
              <w:tab w:val="right" w:leader="dot" w:pos="9354"/>
            </w:tabs>
          </w:pPr>
          <w:r>
            <w:fldChar w:fldCharType="begin"/>
          </w:r>
          <w:r>
            <w:instrText xml:space="preserve"> HYPERLINK \l "_Toc28696" </w:instrText>
          </w:r>
          <w:r>
            <w:fldChar w:fldCharType="separate"/>
          </w:r>
          <w:r>
            <w:rPr>
              <w:rFonts w:hint="eastAsia" w:eastAsia="黑体"/>
            </w:rPr>
            <w:t xml:space="preserve">9 </w:t>
          </w:r>
          <w:r>
            <w:rPr>
              <w:rFonts w:hint="eastAsia"/>
            </w:rPr>
            <w:t>记录和改进</w:t>
          </w:r>
          <w:r>
            <w:tab/>
          </w:r>
          <w:r>
            <w:fldChar w:fldCharType="begin"/>
          </w:r>
          <w:r>
            <w:instrText xml:space="preserve"> PAGEREF _Toc28696 \h </w:instrText>
          </w:r>
          <w:r>
            <w:fldChar w:fldCharType="separate"/>
          </w:r>
          <w:r>
            <w:t>8</w:t>
          </w:r>
          <w:r>
            <w:fldChar w:fldCharType="end"/>
          </w:r>
          <w:r>
            <w:fldChar w:fldCharType="end"/>
          </w:r>
        </w:p>
        <w:p w14:paraId="2C4BB5F9">
          <w:pPr>
            <w:pStyle w:val="7"/>
            <w:tabs>
              <w:tab w:val="right" w:leader="dot" w:pos="9354"/>
            </w:tabs>
          </w:pPr>
          <w:r>
            <w:fldChar w:fldCharType="begin"/>
          </w:r>
          <w:r>
            <w:instrText xml:space="preserve"> HYPERLINK \l "_Toc10917" </w:instrText>
          </w:r>
          <w:r>
            <w:fldChar w:fldCharType="separate"/>
          </w:r>
          <w:r>
            <w:t xml:space="preserve">附  录  A （资料性） </w:t>
          </w:r>
          <w:r>
            <w:rPr>
              <w:rFonts w:hint="eastAsia"/>
            </w:rPr>
            <w:t>观众禁带物品清单示例</w:t>
          </w:r>
          <w:r>
            <w:tab/>
          </w:r>
          <w:r>
            <w:fldChar w:fldCharType="begin"/>
          </w:r>
          <w:r>
            <w:instrText xml:space="preserve"> PAGEREF _Toc10917 \h </w:instrText>
          </w:r>
          <w:r>
            <w:fldChar w:fldCharType="separate"/>
          </w:r>
          <w:r>
            <w:t>10</w:t>
          </w:r>
          <w:r>
            <w:fldChar w:fldCharType="end"/>
          </w:r>
          <w:r>
            <w:fldChar w:fldCharType="end"/>
          </w:r>
        </w:p>
        <w:p w14:paraId="7638D558">
          <w:pPr>
            <w:pStyle w:val="7"/>
            <w:tabs>
              <w:tab w:val="right" w:leader="dot" w:pos="9354"/>
            </w:tabs>
          </w:pPr>
          <w:r>
            <w:fldChar w:fldCharType="begin"/>
          </w:r>
          <w:r>
            <w:instrText xml:space="preserve"> HYPERLINK \l "_Toc2000" </w:instrText>
          </w:r>
          <w:r>
            <w:fldChar w:fldCharType="separate"/>
          </w:r>
          <w:r>
            <w:rPr>
              <w:rFonts w:hint="eastAsia"/>
              <w:spacing w:val="105"/>
            </w:rPr>
            <w:t>参考文</w:t>
          </w:r>
          <w:r>
            <w:rPr>
              <w:rFonts w:hint="eastAsia"/>
            </w:rPr>
            <w:t>献</w:t>
          </w:r>
          <w:r>
            <w:tab/>
          </w:r>
          <w:r>
            <w:fldChar w:fldCharType="begin"/>
          </w:r>
          <w:r>
            <w:instrText xml:space="preserve"> PAGEREF _Toc2000 \h </w:instrText>
          </w:r>
          <w:r>
            <w:fldChar w:fldCharType="separate"/>
          </w:r>
          <w:r>
            <w:t>11</w:t>
          </w:r>
          <w:r>
            <w:fldChar w:fldCharType="end"/>
          </w:r>
          <w:r>
            <w:fldChar w:fldCharType="end"/>
          </w:r>
        </w:p>
        <w:p w14:paraId="2005CF3D">
          <w:pPr>
            <w:spacing w:line="300" w:lineRule="auto"/>
            <w:rPr>
              <w:rFonts w:ascii="Times New Roman" w:hAnsi="Times New Roman"/>
            </w:rPr>
          </w:pPr>
          <w:r>
            <w:rPr>
              <w:rFonts w:ascii="Times New Roman" w:hAnsi="Times New Roman"/>
            </w:rPr>
            <w:fldChar w:fldCharType="end"/>
          </w:r>
        </w:p>
      </w:sdtContent>
    </w:sdt>
    <w:p w14:paraId="23B1C531">
      <w:pPr>
        <w:pStyle w:val="30"/>
        <w:spacing w:after="360"/>
        <w:rPr>
          <w:rFonts w:ascii="Times New Roman"/>
        </w:rPr>
        <w:sectPr>
          <w:headerReference r:id="rId10" w:type="default"/>
          <w:footerReference r:id="rId11" w:type="default"/>
          <w:pgSz w:w="11906" w:h="16838"/>
          <w:pgMar w:top="567" w:right="1134" w:bottom="1134" w:left="1134" w:header="1418" w:footer="1134" w:gutter="284"/>
          <w:pgNumType w:fmt="upperRoman" w:start="1"/>
          <w:cols w:space="425" w:num="1"/>
          <w:formProt w:val="0"/>
          <w:docGrid w:linePitch="312" w:charSpace="0"/>
        </w:sectPr>
      </w:pPr>
    </w:p>
    <w:p w14:paraId="0345FC9E">
      <w:pPr>
        <w:pStyle w:val="30"/>
        <w:spacing w:after="360"/>
        <w:rPr>
          <w:rFonts w:ascii="Times New Roman"/>
        </w:rPr>
      </w:pPr>
      <w:bookmarkStart w:id="18" w:name="_Toc15228"/>
      <w:bookmarkStart w:id="19" w:name="_Toc17361"/>
      <w:bookmarkStart w:id="20" w:name="_Toc16985"/>
      <w:bookmarkStart w:id="21" w:name="_Toc12789"/>
      <w:bookmarkStart w:id="22" w:name="_Toc13927"/>
      <w:bookmarkStart w:id="23" w:name="_Toc3479"/>
      <w:bookmarkStart w:id="24" w:name="_Toc19752"/>
      <w:bookmarkStart w:id="25" w:name="_Toc19259"/>
      <w:bookmarkStart w:id="26" w:name="_Toc11502"/>
      <w:bookmarkStart w:id="27" w:name="_Toc3193"/>
      <w:bookmarkStart w:id="28" w:name="_Toc8686"/>
      <w:r>
        <w:rPr>
          <w:rFonts w:ascii="Times New Roman"/>
          <w:spacing w:val="320"/>
        </w:rPr>
        <w:t>前</w:t>
      </w:r>
      <w:r>
        <w:rPr>
          <w:rFonts w:ascii="Times New Roman"/>
        </w:rPr>
        <w:t>言</w:t>
      </w:r>
      <w:bookmarkEnd w:id="12"/>
      <w:bookmarkEnd w:id="13"/>
      <w:bookmarkEnd w:id="14"/>
      <w:bookmarkEnd w:id="15"/>
      <w:bookmarkEnd w:id="16"/>
      <w:bookmarkEnd w:id="18"/>
      <w:bookmarkEnd w:id="19"/>
      <w:bookmarkEnd w:id="20"/>
      <w:bookmarkEnd w:id="21"/>
      <w:bookmarkEnd w:id="22"/>
      <w:bookmarkEnd w:id="23"/>
      <w:bookmarkEnd w:id="24"/>
      <w:bookmarkEnd w:id="25"/>
      <w:bookmarkEnd w:id="26"/>
      <w:bookmarkEnd w:id="27"/>
      <w:bookmarkEnd w:id="28"/>
    </w:p>
    <w:p w14:paraId="588EEC32">
      <w:pPr>
        <w:pStyle w:val="19"/>
        <w:ind w:firstLine="420"/>
        <w:rPr>
          <w:rFonts w:ascii="Times New Roman"/>
        </w:rPr>
      </w:pPr>
      <w:r>
        <w:rPr>
          <w:rFonts w:ascii="Times New Roman"/>
        </w:rPr>
        <w:t>本文件按照GB/T 1.1—2020《标准化工作导则  第1部分：标准化文件的结构和起草规则》的规定起草。</w:t>
      </w:r>
    </w:p>
    <w:p w14:paraId="16AAA424">
      <w:pPr>
        <w:pStyle w:val="19"/>
        <w:ind w:firstLine="420"/>
        <w:rPr>
          <w:rFonts w:ascii="Times New Roman"/>
        </w:rPr>
      </w:pPr>
      <w:r>
        <w:rPr>
          <w:rFonts w:ascii="Times New Roman"/>
        </w:rPr>
        <w:t>请注意本文件的某些内容可能涉及专利。本文件的发布机构不承担识别这些专利的责任。</w:t>
      </w:r>
    </w:p>
    <w:p w14:paraId="6352E1FF">
      <w:pPr>
        <w:pStyle w:val="19"/>
        <w:ind w:firstLine="420"/>
        <w:rPr>
          <w:rFonts w:ascii="Times New Roman"/>
        </w:rPr>
      </w:pPr>
      <w:r>
        <w:rPr>
          <w:rFonts w:hint="eastAsia" w:ascii="Times New Roman"/>
        </w:rPr>
        <w:t>本文件由国家文物局提出。</w:t>
      </w:r>
    </w:p>
    <w:p w14:paraId="7856ACEC">
      <w:pPr>
        <w:pStyle w:val="19"/>
        <w:ind w:firstLine="420"/>
        <w:rPr>
          <w:rFonts w:ascii="Times New Roman"/>
        </w:rPr>
      </w:pPr>
      <w:r>
        <w:rPr>
          <w:rFonts w:ascii="Times New Roman"/>
        </w:rPr>
        <w:t>本文件由全国文物保护标准化技术委员会（SAC/TC 289）</w:t>
      </w:r>
      <w:r>
        <w:rPr>
          <w:rFonts w:hint="eastAsia" w:ascii="Times New Roman"/>
        </w:rPr>
        <w:t>提出并</w:t>
      </w:r>
      <w:r>
        <w:rPr>
          <w:rFonts w:ascii="Times New Roman"/>
        </w:rPr>
        <w:t>归口。</w:t>
      </w:r>
    </w:p>
    <w:p w14:paraId="23E0C8A1">
      <w:pPr>
        <w:pStyle w:val="19"/>
        <w:ind w:firstLine="420"/>
        <w:rPr>
          <w:rFonts w:ascii="Times New Roman"/>
        </w:rPr>
      </w:pPr>
      <w:r>
        <w:rPr>
          <w:rFonts w:ascii="Times New Roman"/>
        </w:rPr>
        <w:t>本文件起草单位：</w:t>
      </w:r>
      <w:r>
        <w:rPr>
          <w:rFonts w:hint="eastAsia" w:ascii="Times New Roman"/>
        </w:rPr>
        <w:t>故宫博物院、</w:t>
      </w:r>
      <w:r>
        <w:rPr>
          <w:rFonts w:ascii="Times New Roman"/>
        </w:rPr>
        <w:t>北京市科学技术研究院城市安全与环境科学研究所、</w:t>
      </w:r>
      <w:r>
        <w:rPr>
          <w:rFonts w:hint="eastAsia" w:ascii="Times New Roman"/>
        </w:rPr>
        <w:t>中国</w:t>
      </w:r>
      <w:r>
        <w:rPr>
          <w:rFonts w:ascii="Times New Roman"/>
        </w:rPr>
        <w:t>国家博物馆、敦煌研究院、</w:t>
      </w:r>
      <w:r>
        <w:rPr>
          <w:rFonts w:hint="eastAsia" w:ascii="Times New Roman"/>
        </w:rPr>
        <w:t>秦始皇兵马俑博物馆</w:t>
      </w:r>
      <w:r>
        <w:rPr>
          <w:rFonts w:ascii="Times New Roman"/>
        </w:rPr>
        <w:t>、</w:t>
      </w:r>
      <w:r>
        <w:rPr>
          <w:rFonts w:hint="eastAsia" w:ascii="Times New Roman"/>
        </w:rPr>
        <w:t>国家自然博物馆、</w:t>
      </w:r>
      <w:r>
        <w:rPr>
          <w:rFonts w:ascii="Times New Roman"/>
        </w:rPr>
        <w:t>成都博物馆、泉州市博物馆</w:t>
      </w:r>
      <w:r>
        <w:rPr>
          <w:rFonts w:hint="eastAsia" w:ascii="Times New Roman"/>
        </w:rPr>
        <w:t>、国家自然灾害防治研究院</w:t>
      </w:r>
      <w:r>
        <w:rPr>
          <w:rFonts w:ascii="Times New Roman"/>
        </w:rPr>
        <w:t>。</w:t>
      </w:r>
    </w:p>
    <w:p w14:paraId="4A2A5051">
      <w:pPr>
        <w:pStyle w:val="19"/>
        <w:ind w:firstLine="420"/>
        <w:rPr>
          <w:rFonts w:ascii="Times New Roman"/>
          <w:color w:val="000000"/>
          <w:szCs w:val="21"/>
        </w:rPr>
      </w:pPr>
      <w:r>
        <w:rPr>
          <w:rFonts w:ascii="Times New Roman"/>
        </w:rPr>
        <w:t>本文件主要起草人：王波</w:t>
      </w:r>
      <w:r>
        <w:rPr>
          <w:rFonts w:hint="eastAsia" w:ascii="Times New Roman"/>
        </w:rPr>
        <w:t>、</w:t>
      </w:r>
      <w:r>
        <w:rPr>
          <w:rFonts w:ascii="Times New Roman"/>
        </w:rPr>
        <w:t>姚晓晖</w:t>
      </w:r>
      <w:r>
        <w:rPr>
          <w:rFonts w:hint="eastAsia" w:ascii="Times New Roman"/>
        </w:rPr>
        <w:t>、</w:t>
      </w:r>
      <w:r>
        <w:rPr>
          <w:rFonts w:ascii="Times New Roman"/>
        </w:rPr>
        <w:t>李季梅</w:t>
      </w:r>
      <w:r>
        <w:rPr>
          <w:rFonts w:hint="eastAsia" w:ascii="Times New Roman"/>
        </w:rPr>
        <w:t>、</w:t>
      </w:r>
      <w:r>
        <w:rPr>
          <w:rFonts w:ascii="Times New Roman"/>
        </w:rPr>
        <w:t>苏鹏</w:t>
      </w:r>
      <w:r>
        <w:rPr>
          <w:rFonts w:hint="eastAsia" w:ascii="Times New Roman"/>
        </w:rPr>
        <w:t>、</w:t>
      </w:r>
      <w:r>
        <w:rPr>
          <w:rFonts w:ascii="Times New Roman"/>
        </w:rPr>
        <w:t>钱重阳</w:t>
      </w:r>
      <w:r>
        <w:rPr>
          <w:rFonts w:hint="eastAsia" w:ascii="Times New Roman"/>
        </w:rPr>
        <w:t>、刘瑾洲、宁利君、张茂福、</w:t>
      </w:r>
      <w:r>
        <w:rPr>
          <w:rFonts w:ascii="Times New Roman"/>
        </w:rPr>
        <w:t>张帅</w:t>
      </w:r>
      <w:r>
        <w:rPr>
          <w:rFonts w:hint="eastAsia" w:ascii="Times New Roman"/>
        </w:rPr>
        <w:t>、马军辉、黄明珍、张弩、史英周、洪卫军、李海鹏、焦心怡、</w:t>
      </w:r>
      <w:r>
        <w:rPr>
          <w:rFonts w:ascii="Times New Roman"/>
        </w:rPr>
        <w:t>陈宁</w:t>
      </w:r>
      <w:r>
        <w:rPr>
          <w:rFonts w:hint="eastAsia" w:ascii="Times New Roman"/>
        </w:rPr>
        <w:t>、</w:t>
      </w:r>
      <w:r>
        <w:rPr>
          <w:rFonts w:ascii="Times New Roman"/>
        </w:rPr>
        <w:t>李恩重</w:t>
      </w:r>
      <w:r>
        <w:rPr>
          <w:rFonts w:hint="eastAsia" w:ascii="Times New Roman"/>
        </w:rPr>
        <w:t>、刘雨、</w:t>
      </w:r>
      <w:r>
        <w:rPr>
          <w:rFonts w:ascii="Times New Roman"/>
        </w:rPr>
        <w:t>刘增辉</w:t>
      </w:r>
      <w:r>
        <w:rPr>
          <w:rFonts w:hint="eastAsia" w:ascii="Times New Roman"/>
        </w:rPr>
        <w:t>、</w:t>
      </w:r>
      <w:r>
        <w:rPr>
          <w:rFonts w:ascii="Times New Roman"/>
        </w:rPr>
        <w:t>王喆</w:t>
      </w:r>
      <w:r>
        <w:rPr>
          <w:rFonts w:hint="eastAsia" w:ascii="Times New Roman"/>
        </w:rPr>
        <w:t>、</w:t>
      </w:r>
      <w:r>
        <w:rPr>
          <w:rFonts w:ascii="Times New Roman"/>
        </w:rPr>
        <w:t>陈天仑</w:t>
      </w:r>
      <w:r>
        <w:rPr>
          <w:rFonts w:hint="eastAsia" w:ascii="Times New Roman"/>
        </w:rPr>
        <w:t>、</w:t>
      </w:r>
      <w:r>
        <w:rPr>
          <w:rFonts w:ascii="Times New Roman"/>
        </w:rPr>
        <w:t>王情</w:t>
      </w:r>
      <w:r>
        <w:rPr>
          <w:rFonts w:hint="eastAsia" w:ascii="Times New Roman"/>
        </w:rPr>
        <w:t>、</w:t>
      </w:r>
      <w:r>
        <w:rPr>
          <w:rFonts w:ascii="Times New Roman"/>
        </w:rPr>
        <w:t>崔亚强</w:t>
      </w:r>
      <w:r>
        <w:rPr>
          <w:rFonts w:hint="eastAsia" w:ascii="Times New Roman"/>
        </w:rPr>
        <w:t>、</w:t>
      </w:r>
      <w:r>
        <w:rPr>
          <w:rFonts w:ascii="Times New Roman"/>
        </w:rPr>
        <w:t>张维</w:t>
      </w:r>
      <w:r>
        <w:rPr>
          <w:rFonts w:hint="eastAsia" w:ascii="Times New Roman"/>
        </w:rPr>
        <w:t>建、</w:t>
      </w:r>
      <w:r>
        <w:rPr>
          <w:rFonts w:ascii="Times New Roman"/>
        </w:rPr>
        <w:t>房小妹</w:t>
      </w:r>
      <w:r>
        <w:rPr>
          <w:rFonts w:hint="eastAsia" w:ascii="Times New Roman"/>
        </w:rPr>
        <w:t>、</w:t>
      </w:r>
      <w:r>
        <w:rPr>
          <w:rFonts w:ascii="Times New Roman"/>
        </w:rPr>
        <w:t>张博辉</w:t>
      </w:r>
      <w:r>
        <w:rPr>
          <w:rFonts w:hint="eastAsia" w:ascii="Times New Roman"/>
        </w:rPr>
        <w:t>、</w:t>
      </w:r>
      <w:r>
        <w:rPr>
          <w:rFonts w:ascii="Times New Roman"/>
        </w:rPr>
        <w:t>傅中胜</w:t>
      </w:r>
      <w:r>
        <w:rPr>
          <w:rFonts w:hint="eastAsia" w:ascii="Times New Roman"/>
        </w:rPr>
        <w:t>、</w:t>
      </w:r>
      <w:r>
        <w:rPr>
          <w:rFonts w:ascii="Times New Roman"/>
        </w:rPr>
        <w:t>李雷</w:t>
      </w:r>
      <w:r>
        <w:rPr>
          <w:rFonts w:hint="eastAsia" w:ascii="Times New Roman"/>
        </w:rPr>
        <w:t>、</w:t>
      </w:r>
      <w:r>
        <w:rPr>
          <w:rFonts w:ascii="Times New Roman"/>
        </w:rPr>
        <w:t>战恒彬</w:t>
      </w:r>
      <w:r>
        <w:rPr>
          <w:rFonts w:hint="eastAsia" w:ascii="Times New Roman"/>
        </w:rPr>
        <w:t>、</w:t>
      </w:r>
      <w:r>
        <w:rPr>
          <w:rFonts w:ascii="Times New Roman"/>
        </w:rPr>
        <w:t>蔡迟迟</w:t>
      </w:r>
      <w:r>
        <w:rPr>
          <w:rFonts w:hint="eastAsia" w:ascii="Times New Roman"/>
        </w:rPr>
        <w:t>、</w:t>
      </w:r>
      <w:r>
        <w:rPr>
          <w:rFonts w:ascii="Times New Roman"/>
        </w:rPr>
        <w:t>武士涛</w:t>
      </w:r>
      <w:r>
        <w:rPr>
          <w:rFonts w:hint="eastAsia" w:ascii="Times New Roman"/>
        </w:rPr>
        <w:t>、</w:t>
      </w:r>
      <w:r>
        <w:rPr>
          <w:rFonts w:ascii="Times New Roman"/>
        </w:rPr>
        <w:t>王昕</w:t>
      </w:r>
      <w:r>
        <w:rPr>
          <w:rFonts w:hint="eastAsia" w:ascii="Times New Roman"/>
        </w:rPr>
        <w:t>、</w:t>
      </w:r>
      <w:r>
        <w:rPr>
          <w:rFonts w:ascii="Times New Roman"/>
        </w:rPr>
        <w:t>祁琳</w:t>
      </w:r>
      <w:r>
        <w:rPr>
          <w:rFonts w:hint="eastAsia" w:ascii="Times New Roman"/>
        </w:rPr>
        <w:t>、</w:t>
      </w:r>
      <w:r>
        <w:rPr>
          <w:rFonts w:ascii="Times New Roman"/>
        </w:rPr>
        <w:t>杨思柔</w:t>
      </w:r>
      <w:r>
        <w:rPr>
          <w:rFonts w:hint="eastAsia" w:ascii="Times New Roman"/>
        </w:rPr>
        <w:t>、</w:t>
      </w:r>
      <w:r>
        <w:rPr>
          <w:rFonts w:ascii="Times New Roman"/>
        </w:rPr>
        <w:t>杨涛</w:t>
      </w:r>
      <w:r>
        <w:rPr>
          <w:rFonts w:hint="eastAsia" w:ascii="Times New Roman"/>
        </w:rPr>
        <w:t>、</w:t>
      </w:r>
      <w:r>
        <w:rPr>
          <w:rFonts w:ascii="Times New Roman"/>
        </w:rPr>
        <w:t>王少鹏</w:t>
      </w:r>
      <w:r>
        <w:rPr>
          <w:rFonts w:hint="eastAsia" w:ascii="Times New Roman"/>
        </w:rPr>
        <w:t>、</w:t>
      </w:r>
      <w:r>
        <w:rPr>
          <w:rFonts w:ascii="Times New Roman"/>
        </w:rPr>
        <w:t>高远</w:t>
      </w:r>
      <w:r>
        <w:rPr>
          <w:rFonts w:hint="eastAsia" w:ascii="Times New Roman"/>
        </w:rPr>
        <w:t>、</w:t>
      </w:r>
      <w:r>
        <w:rPr>
          <w:rFonts w:ascii="Times New Roman"/>
        </w:rPr>
        <w:t>白金</w:t>
      </w:r>
      <w:r>
        <w:rPr>
          <w:rFonts w:hint="eastAsia" w:ascii="Times New Roman"/>
        </w:rPr>
        <w:t>、</w:t>
      </w:r>
      <w:r>
        <w:rPr>
          <w:rFonts w:ascii="Times New Roman"/>
        </w:rPr>
        <w:t>顾嘉琦</w:t>
      </w:r>
      <w:r>
        <w:rPr>
          <w:rFonts w:hint="eastAsia" w:ascii="Times New Roman"/>
        </w:rPr>
        <w:t>、</w:t>
      </w:r>
      <w:r>
        <w:rPr>
          <w:rFonts w:ascii="Times New Roman"/>
        </w:rPr>
        <w:t>赵建宜</w:t>
      </w:r>
    </w:p>
    <w:p w14:paraId="13BA12FA">
      <w:pPr>
        <w:pStyle w:val="19"/>
        <w:ind w:firstLine="420"/>
        <w:rPr>
          <w:rFonts w:ascii="Times New Roman"/>
        </w:rPr>
      </w:pPr>
    </w:p>
    <w:p w14:paraId="598B4395">
      <w:pPr>
        <w:pStyle w:val="19"/>
        <w:ind w:firstLine="420"/>
        <w:rPr>
          <w:rFonts w:ascii="Times New Roman"/>
        </w:rPr>
      </w:pPr>
    </w:p>
    <w:p w14:paraId="1CC2EC6C">
      <w:pPr>
        <w:pStyle w:val="19"/>
        <w:ind w:firstLine="420"/>
        <w:rPr>
          <w:rFonts w:ascii="Times New Roman"/>
        </w:rPr>
        <w:sectPr>
          <w:footerReference r:id="rId12" w:type="default"/>
          <w:pgSz w:w="11906" w:h="16838"/>
          <w:pgMar w:top="567" w:right="1134" w:bottom="1134" w:left="1134" w:header="1418" w:footer="1134" w:gutter="284"/>
          <w:pgNumType w:fmt="upperRoman" w:start="1"/>
          <w:cols w:space="425" w:num="1"/>
          <w:formProt w:val="0"/>
          <w:docGrid w:linePitch="312" w:charSpace="0"/>
        </w:sectPr>
      </w:pPr>
    </w:p>
    <w:bookmarkEnd w:id="17"/>
    <w:p w14:paraId="0204A97A">
      <w:pPr>
        <w:pStyle w:val="30"/>
        <w:spacing w:after="360"/>
        <w:rPr>
          <w:rFonts w:ascii="Times New Roman"/>
        </w:rPr>
      </w:pPr>
      <w:bookmarkStart w:id="29" w:name="_Toc32013"/>
      <w:bookmarkStart w:id="30" w:name="_Toc4332"/>
      <w:bookmarkStart w:id="31" w:name="_Toc91503734"/>
      <w:bookmarkStart w:id="32" w:name="_Toc68083979"/>
      <w:bookmarkStart w:id="33" w:name="_Toc2149"/>
      <w:bookmarkStart w:id="34" w:name="_Toc68798846"/>
      <w:bookmarkStart w:id="35" w:name="_Toc68095416"/>
      <w:bookmarkStart w:id="36" w:name="_Toc32346"/>
      <w:bookmarkStart w:id="37" w:name="_Toc7229"/>
      <w:bookmarkStart w:id="38" w:name="_Toc7085"/>
      <w:bookmarkStart w:id="39" w:name="_Toc3104"/>
      <w:bookmarkStart w:id="40" w:name="_Toc5255"/>
      <w:bookmarkStart w:id="41" w:name="_Toc91509772"/>
      <w:bookmarkStart w:id="42" w:name="_Toc24400"/>
      <w:bookmarkStart w:id="43" w:name="_Toc68096081"/>
      <w:bookmarkStart w:id="44" w:name="_Toc32197"/>
      <w:bookmarkStart w:id="45" w:name="_Toc28430"/>
      <w:bookmarkStart w:id="46" w:name="_Toc20857"/>
      <w:bookmarkStart w:id="47" w:name="_Toc1055"/>
      <w:bookmarkStart w:id="48" w:name="_Toc21436"/>
      <w:bookmarkStart w:id="49" w:name="_Toc91503779"/>
      <w:bookmarkStart w:id="50" w:name="_Toc1992"/>
      <w:bookmarkStart w:id="51" w:name="_Toc17878"/>
      <w:bookmarkStart w:id="52" w:name="_Toc4634"/>
      <w:bookmarkStart w:id="53" w:name="BookMark3"/>
      <w:r>
        <w:rPr>
          <w:rFonts w:ascii="Times New Roman"/>
          <w:spacing w:val="320"/>
        </w:rPr>
        <w:t>引</w:t>
      </w:r>
      <w:r>
        <w:rPr>
          <w:rFonts w:ascii="Times New Roman"/>
        </w:rPr>
        <w:t>言</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4A7D6FA">
      <w:pPr>
        <w:pStyle w:val="19"/>
        <w:ind w:firstLine="420"/>
        <w:rPr>
          <w:rFonts w:ascii="Times New Roman"/>
        </w:rPr>
      </w:pPr>
    </w:p>
    <w:p w14:paraId="68E30561">
      <w:pPr>
        <w:pStyle w:val="19"/>
        <w:ind w:firstLine="420"/>
        <w:rPr>
          <w:rFonts w:ascii="Times New Roman"/>
        </w:rPr>
      </w:pPr>
      <w:r>
        <w:rPr>
          <w:rFonts w:hint="eastAsia" w:ascii="Times New Roman"/>
        </w:rPr>
        <w:t>安全保卫是博物馆一项重要的基础性工作，贯穿于博物馆行政工作与业务运行的全过程，具有风险高、责任重、涉及面广等特点。</w:t>
      </w:r>
    </w:p>
    <w:p w14:paraId="090735A6">
      <w:pPr>
        <w:pStyle w:val="19"/>
        <w:ind w:firstLine="420"/>
        <w:rPr>
          <w:rFonts w:ascii="Times New Roman"/>
        </w:rPr>
      </w:pPr>
      <w:r>
        <w:rPr>
          <w:rFonts w:hint="eastAsia" w:ascii="Times New Roman"/>
        </w:rPr>
        <w:t>本文件从体系建设和要素标准化的角度，提出了博物馆安全保卫管理的基本要求，以及安全保卫机构、岗位和人员，制度管理，日常管理，应急管理，记录和改进的核心管理内容，可有效规范博物馆安全保卫管理工作，为提高博物馆的安全保卫能力奠定基础，为博物馆的安全运行和文物保护提供保障。</w:t>
      </w:r>
    </w:p>
    <w:p w14:paraId="5EB072B0">
      <w:pPr>
        <w:pStyle w:val="19"/>
        <w:ind w:firstLine="420"/>
        <w:rPr>
          <w:rFonts w:ascii="Times New Roman"/>
        </w:rPr>
      </w:pPr>
    </w:p>
    <w:p w14:paraId="21CE95BC">
      <w:pPr>
        <w:pStyle w:val="19"/>
        <w:ind w:firstLine="420"/>
        <w:rPr>
          <w:rFonts w:ascii="Times New Roman"/>
        </w:rPr>
        <w:sectPr>
          <w:pgSz w:w="11906" w:h="16838"/>
          <w:pgMar w:top="567" w:right="1134" w:bottom="1134" w:left="1134" w:header="1418" w:footer="1134" w:gutter="284"/>
          <w:pgNumType w:fmt="upperRoman"/>
          <w:cols w:space="425" w:num="1"/>
          <w:formProt w:val="0"/>
          <w:docGrid w:linePitch="312" w:charSpace="0"/>
        </w:sectPr>
      </w:pPr>
    </w:p>
    <w:bookmarkEnd w:id="53"/>
    <w:p w14:paraId="3332DD70">
      <w:pPr>
        <w:spacing w:line="20" w:lineRule="exact"/>
        <w:jc w:val="center"/>
        <w:rPr>
          <w:rFonts w:ascii="Times New Roman" w:hAnsi="Times New Roman" w:eastAsia="黑体"/>
          <w:sz w:val="32"/>
          <w:szCs w:val="32"/>
        </w:rPr>
      </w:pPr>
      <w:bookmarkStart w:id="54" w:name="BookMark4"/>
    </w:p>
    <w:p w14:paraId="3426AFFE">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4e6ff72a-d2fa-477e-8575-5e90e36157bb}"/>
        </w:placeholder>
      </w:sdtPr>
      <w:sdtEndPr>
        <w:rPr>
          <w:rFonts w:ascii="Times New Roman" w:hAnsi="Times New Roman"/>
        </w:rPr>
      </w:sdtEndPr>
      <w:sdtContent>
        <w:p w14:paraId="53238361">
          <w:pPr>
            <w:pStyle w:val="32"/>
            <w:spacing w:before="240" w:beforeLines="100" w:after="528" w:afterLines="220"/>
            <w:rPr>
              <w:rFonts w:ascii="Times New Roman" w:hAnsi="Times New Roman"/>
            </w:rPr>
          </w:pPr>
          <w:bookmarkStart w:id="55" w:name="NEW_STAND_NAME"/>
          <w:r>
            <w:rPr>
              <w:rFonts w:hint="eastAsia" w:ascii="Times New Roman" w:hAnsi="Times New Roman"/>
            </w:rPr>
            <w:t>博物馆安全保卫管理规范</w:t>
          </w:r>
        </w:p>
      </w:sdtContent>
    </w:sdt>
    <w:bookmarkEnd w:id="55"/>
    <w:p w14:paraId="5C3F1788">
      <w:pPr>
        <w:pStyle w:val="33"/>
        <w:spacing w:before="240" w:after="240"/>
        <w:rPr>
          <w:rFonts w:ascii="Times New Roman"/>
          <w:szCs w:val="21"/>
        </w:rPr>
      </w:pPr>
      <w:bookmarkStart w:id="56" w:name="_Toc26718930"/>
      <w:bookmarkStart w:id="57" w:name="_Toc17233333"/>
      <w:bookmarkStart w:id="58" w:name="_Toc91503735"/>
      <w:bookmarkStart w:id="59" w:name="_Toc68095417"/>
      <w:bookmarkStart w:id="60" w:name="_Toc1493"/>
      <w:bookmarkStart w:id="61" w:name="_Toc24884218"/>
      <w:bookmarkStart w:id="62" w:name="_Toc6280"/>
      <w:bookmarkStart w:id="63" w:name="_Toc31465"/>
      <w:bookmarkStart w:id="64" w:name="_Toc22482"/>
      <w:bookmarkStart w:id="65" w:name="_Toc26648465"/>
      <w:bookmarkStart w:id="66" w:name="_Toc21786"/>
      <w:bookmarkStart w:id="67" w:name="_Toc9179"/>
      <w:bookmarkStart w:id="68" w:name="_Toc22819"/>
      <w:bookmarkStart w:id="69" w:name="_Toc68082336"/>
      <w:bookmarkStart w:id="70" w:name="_Toc6728"/>
      <w:bookmarkStart w:id="71" w:name="_Toc975"/>
      <w:bookmarkStart w:id="72" w:name="_Toc68096082"/>
      <w:bookmarkStart w:id="73" w:name="_Toc10316"/>
      <w:bookmarkStart w:id="74" w:name="_Toc17773"/>
      <w:bookmarkStart w:id="75" w:name="_Toc26986530"/>
      <w:bookmarkStart w:id="76" w:name="_Toc8587"/>
      <w:bookmarkStart w:id="77" w:name="_Toc26603"/>
      <w:bookmarkStart w:id="78" w:name="_Toc24029"/>
      <w:bookmarkStart w:id="79" w:name="_Toc9850"/>
      <w:bookmarkStart w:id="80" w:name="_Toc91509773"/>
      <w:bookmarkStart w:id="81" w:name="_Toc17233325"/>
      <w:bookmarkStart w:id="82" w:name="_Toc24884211"/>
      <w:bookmarkStart w:id="83" w:name="_Toc30711"/>
      <w:bookmarkStart w:id="84" w:name="_Toc9258"/>
      <w:bookmarkStart w:id="85" w:name="_Toc68798847"/>
      <w:bookmarkStart w:id="86" w:name="_Toc68083980"/>
      <w:bookmarkStart w:id="87" w:name="_Toc11250"/>
      <w:bookmarkStart w:id="88" w:name="_Toc8511"/>
      <w:bookmarkStart w:id="89" w:name="_Toc26986771"/>
      <w:bookmarkStart w:id="90" w:name="_Toc91503780"/>
      <w:r>
        <w:rPr>
          <w:rFonts w:hint="eastAsia" w:ascii="Times New Roman"/>
          <w:szCs w:val="21"/>
        </w:rPr>
        <w:t>范围</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7169A0">
      <w:pPr>
        <w:pStyle w:val="19"/>
        <w:ind w:firstLine="420"/>
        <w:rPr>
          <w:rFonts w:ascii="Times New Roman"/>
          <w:szCs w:val="21"/>
        </w:rPr>
      </w:pPr>
      <w:r>
        <w:rPr>
          <w:rFonts w:hint="eastAsia" w:ascii="Times New Roman"/>
          <w:szCs w:val="21"/>
        </w:rPr>
        <w:t>本文件规定了</w:t>
      </w:r>
      <w:bookmarkStart w:id="91" w:name="OLE_LINK1"/>
      <w:r>
        <w:rPr>
          <w:rFonts w:hint="eastAsia" w:ascii="Times New Roman"/>
          <w:szCs w:val="21"/>
        </w:rPr>
        <w:t>全国各级各类博物馆</w:t>
      </w:r>
      <w:r>
        <w:rPr>
          <w:rFonts w:hint="eastAsia" w:ascii="Times New Roman"/>
        </w:rPr>
        <w:t>安全保卫</w:t>
      </w:r>
      <w:bookmarkEnd w:id="91"/>
      <w:r>
        <w:rPr>
          <w:rFonts w:hint="eastAsia" w:ascii="Times New Roman"/>
        </w:rPr>
        <w:t>工作的基本要求，机构、岗位和人员要求，制度管理要求，日常管理要求，</w:t>
      </w:r>
      <w:bookmarkStart w:id="92" w:name="OLE_LINK2"/>
      <w:r>
        <w:rPr>
          <w:rFonts w:hint="eastAsia" w:ascii="Times New Roman"/>
        </w:rPr>
        <w:t>应急管理要求，以及记录和改进要求。</w:t>
      </w:r>
      <w:bookmarkEnd w:id="92"/>
    </w:p>
    <w:p w14:paraId="09EBA6CD">
      <w:pPr>
        <w:pStyle w:val="19"/>
        <w:ind w:firstLine="420"/>
        <w:rPr>
          <w:rFonts w:ascii="Times New Roman"/>
        </w:rPr>
      </w:pPr>
      <w:r>
        <w:rPr>
          <w:rFonts w:hint="eastAsia" w:ascii="Times New Roman"/>
          <w:szCs w:val="21"/>
        </w:rPr>
        <w:t>本文件适用于</w:t>
      </w:r>
      <w:r>
        <w:rPr>
          <w:rFonts w:hint="eastAsia" w:ascii="Times New Roman"/>
        </w:rPr>
        <w:t>全国各级各类博物馆，用于指导其维护内部治安秩序、开展治安防范，预防违法犯罪，保护参观观众、工作人员人身安全，以及文物和公共设施安全。</w:t>
      </w:r>
    </w:p>
    <w:p w14:paraId="40B519FC">
      <w:pPr>
        <w:pStyle w:val="19"/>
        <w:ind w:firstLine="420"/>
        <w:rPr>
          <w:rFonts w:ascii="Times New Roman"/>
        </w:rPr>
      </w:pPr>
      <w:r>
        <w:rPr>
          <w:rFonts w:hint="eastAsia" w:ascii="Times New Roman"/>
          <w:szCs w:val="21"/>
        </w:rPr>
        <w:t>本文件不适用于博物馆跨区域文物转运、馆外考古发掘等馆外业务活动的安全保卫管理。</w:t>
      </w:r>
    </w:p>
    <w:p w14:paraId="35D65D11">
      <w:pPr>
        <w:pStyle w:val="33"/>
        <w:spacing w:before="240" w:after="240"/>
        <w:rPr>
          <w:rFonts w:ascii="Times New Roman"/>
          <w:szCs w:val="21"/>
        </w:rPr>
      </w:pPr>
      <w:bookmarkStart w:id="93" w:name="_Toc32684"/>
      <w:bookmarkStart w:id="94" w:name="_Toc11648"/>
      <w:bookmarkStart w:id="95" w:name="_Toc91503781"/>
      <w:bookmarkStart w:id="96" w:name="_Toc24148"/>
      <w:bookmarkStart w:id="97" w:name="_Toc68082337"/>
      <w:bookmarkStart w:id="98" w:name="_Toc26986531"/>
      <w:bookmarkStart w:id="99" w:name="_Toc26718931"/>
      <w:bookmarkStart w:id="100" w:name="_Toc32377"/>
      <w:bookmarkStart w:id="101" w:name="_Toc27898"/>
      <w:bookmarkStart w:id="102" w:name="_Toc91503736"/>
      <w:bookmarkStart w:id="103" w:name="_Toc32159"/>
      <w:bookmarkStart w:id="104" w:name="_Toc68798848"/>
      <w:bookmarkStart w:id="105" w:name="_Toc26213"/>
      <w:bookmarkStart w:id="106" w:name="_Toc7509"/>
      <w:bookmarkStart w:id="107" w:name="_Toc68096083"/>
      <w:bookmarkStart w:id="108" w:name="_Toc17233326"/>
      <w:bookmarkStart w:id="109" w:name="_Toc68095418"/>
      <w:bookmarkStart w:id="110" w:name="_Toc10773"/>
      <w:bookmarkStart w:id="111" w:name="_Toc21974"/>
      <w:bookmarkStart w:id="112" w:name="_Toc26986772"/>
      <w:bookmarkStart w:id="113" w:name="_Toc22607"/>
      <w:bookmarkStart w:id="114" w:name="_Toc26648466"/>
      <w:bookmarkStart w:id="115" w:name="_Toc22125"/>
      <w:bookmarkStart w:id="116" w:name="_Toc24884219"/>
      <w:bookmarkStart w:id="117" w:name="_Toc6550"/>
      <w:bookmarkStart w:id="118" w:name="_Toc3450"/>
      <w:bookmarkStart w:id="119" w:name="_Toc15020"/>
      <w:bookmarkStart w:id="120" w:name="_Toc24884212"/>
      <w:bookmarkStart w:id="121" w:name="_Toc6144"/>
      <w:bookmarkStart w:id="122" w:name="_Toc10721"/>
      <w:bookmarkStart w:id="123" w:name="_Toc91509774"/>
      <w:bookmarkStart w:id="124" w:name="_Toc16156"/>
      <w:bookmarkStart w:id="125" w:name="_Toc22970"/>
      <w:bookmarkStart w:id="126" w:name="_Toc68083981"/>
      <w:bookmarkStart w:id="127" w:name="_Toc17233334"/>
      <w:r>
        <w:rPr>
          <w:rFonts w:hint="eastAsia" w:ascii="Times New Roman"/>
          <w:szCs w:val="21"/>
        </w:rPr>
        <w:t>规范性引用文件</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0C39150">
      <w:pPr>
        <w:pStyle w:val="19"/>
        <w:ind w:firstLine="420"/>
        <w:rPr>
          <w:rFonts w:ascii="Times New Roman"/>
          <w:szCs w:val="21"/>
        </w:rPr>
      </w:pPr>
      <w:r>
        <w:rPr>
          <w:rFonts w:hint="eastAsia" w:ascii="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1372807">
      <w:pPr>
        <w:pStyle w:val="19"/>
        <w:ind w:firstLine="420"/>
        <w:rPr>
          <w:rFonts w:ascii="Times New Roman"/>
        </w:rPr>
      </w:pPr>
      <w:r>
        <w:rPr>
          <w:rFonts w:hint="eastAsia" w:ascii="Times New Roman"/>
        </w:rPr>
        <w:t>GB/T 16571 博物馆和文物保护单位安全防范系统要求</w:t>
      </w:r>
    </w:p>
    <w:p w14:paraId="34ECBE08">
      <w:pPr>
        <w:pStyle w:val="19"/>
        <w:ind w:firstLine="420"/>
        <w:rPr>
          <w:rFonts w:ascii="Times New Roman"/>
          <w:szCs w:val="21"/>
        </w:rPr>
      </w:pPr>
      <w:r>
        <w:fldChar w:fldCharType="begin"/>
      </w:r>
      <w:r>
        <w:instrText xml:space="preserve"> HYPERLINK "http://www.baidu.com/link?url=suFBuoDcudsDwPfbhlLHSVcmHGDlnYbO4Tzcbb_VWfnynLJg8BRLZ-VsmD3vvpbkYpjPwLqpNvzDCn0IfraS0_" \t "https://www.baidu.com/_blank" </w:instrText>
      </w:r>
      <w:r>
        <w:fldChar w:fldCharType="separate"/>
      </w:r>
      <w:r>
        <w:rPr>
          <w:rFonts w:hint="eastAsia" w:ascii="Times New Roman"/>
          <w:szCs w:val="21"/>
          <w:lang w:val="en-GB"/>
        </w:rPr>
        <w:t>GB/T</w:t>
      </w:r>
      <w:r>
        <w:rPr>
          <w:rFonts w:hint="eastAsia" w:ascii="Times New Roman"/>
          <w:szCs w:val="21"/>
        </w:rPr>
        <w:t xml:space="preserve"> </w:t>
      </w:r>
      <w:r>
        <w:rPr>
          <w:rFonts w:hint="eastAsia" w:ascii="Times New Roman"/>
          <w:szCs w:val="21"/>
          <w:lang w:val="en-GB"/>
        </w:rPr>
        <w:t>28181</w:t>
      </w:r>
      <w:r>
        <w:rPr>
          <w:rFonts w:hint="eastAsia" w:ascii="Times New Roman"/>
          <w:szCs w:val="21"/>
          <w:lang w:val="en-GB"/>
        </w:rPr>
        <w:fldChar w:fldCharType="end"/>
      </w:r>
      <w:r>
        <w:rPr>
          <w:rFonts w:hint="eastAsia" w:ascii="Times New Roman"/>
          <w:szCs w:val="21"/>
        </w:rPr>
        <w:t xml:space="preserve"> 公共安全视频监控联网系统信息传输、交换、控制技术要求</w:t>
      </w:r>
    </w:p>
    <w:p w14:paraId="578B36DD">
      <w:pPr>
        <w:pStyle w:val="19"/>
        <w:ind w:firstLine="420"/>
        <w:rPr>
          <w:rFonts w:ascii="Times New Roman"/>
          <w:szCs w:val="21"/>
        </w:rPr>
      </w:pPr>
      <w:r>
        <w:rPr>
          <w:rFonts w:hint="eastAsia" w:ascii="Times New Roman"/>
        </w:rPr>
        <w:fldChar w:fldCharType="begin"/>
      </w:r>
      <w:r>
        <w:rPr>
          <w:rFonts w:ascii="Times New Roman"/>
        </w:rPr>
        <w:instrText xml:space="preserve"> HYPERLINK "http://www.baidu.com/link?url=kXHyf0x5rQ0lX5pBq27yDL-2_VRbNsmOHXuqhyh7AiTK5wyV_gzuI57AwlXVf8K4lrWjPWbmMfIC6Uo6a_5ViWdVrQJN0DPRVIE4sGwN4pC" \t "https://www.baidu.com/_blank" </w:instrText>
      </w:r>
      <w:r>
        <w:rPr>
          <w:rFonts w:hint="eastAsia" w:ascii="Times New Roman"/>
        </w:rPr>
        <w:fldChar w:fldCharType="separate"/>
      </w:r>
      <w:r>
        <w:rPr>
          <w:rFonts w:hint="eastAsia" w:ascii="Times New Roman"/>
          <w:szCs w:val="21"/>
        </w:rPr>
        <w:t>GB</w:t>
      </w:r>
      <w:r>
        <w:rPr>
          <w:rFonts w:ascii="Times New Roman"/>
          <w:szCs w:val="21"/>
        </w:rPr>
        <w:t>/</w:t>
      </w:r>
      <w:r>
        <w:rPr>
          <w:rFonts w:hint="eastAsia" w:ascii="Times New Roman"/>
          <w:szCs w:val="21"/>
        </w:rPr>
        <w:t>T</w:t>
      </w:r>
      <w:r>
        <w:rPr>
          <w:rFonts w:ascii="Times New Roman"/>
          <w:szCs w:val="21"/>
        </w:rPr>
        <w:t xml:space="preserve"> </w:t>
      </w:r>
      <w:r>
        <w:rPr>
          <w:rFonts w:hint="eastAsia" w:ascii="Times New Roman"/>
          <w:szCs w:val="21"/>
        </w:rPr>
        <w:t xml:space="preserve">33170 大型活动安全要求（所有部分） </w:t>
      </w:r>
      <w:r>
        <w:rPr>
          <w:rFonts w:hint="eastAsia" w:ascii="Times New Roman"/>
          <w:szCs w:val="21"/>
        </w:rPr>
        <w:fldChar w:fldCharType="end"/>
      </w:r>
    </w:p>
    <w:p w14:paraId="6F41A9D7">
      <w:pPr>
        <w:pStyle w:val="19"/>
        <w:ind w:firstLine="420"/>
        <w:rPr>
          <w:rFonts w:ascii="Times New Roman"/>
          <w:szCs w:val="21"/>
        </w:rPr>
      </w:pPr>
      <w:r>
        <w:rPr>
          <w:rFonts w:ascii="Times New Roman"/>
          <w:szCs w:val="21"/>
        </w:rPr>
        <w:t>GB/T 37078</w:t>
      </w:r>
      <w:r>
        <w:rPr>
          <w:rFonts w:hint="eastAsia" w:ascii="Times New Roman"/>
          <w:szCs w:val="21"/>
        </w:rPr>
        <w:t xml:space="preserve"> </w:t>
      </w:r>
      <w:r>
        <w:fldChar w:fldCharType="begin"/>
      </w:r>
      <w:r>
        <w:instrText xml:space="preserve"> HYPERLINK "http://www.baidu.com/link?url=YVMoXpGqVy_xH2Lj8MQXvxhzMTIJ0nxT3pe3AlWOJvoTxK7jZrfGTS-5br6uf-DsJH8aEsdupQ5QRjdafCTYBawHo1qBNdUgaa5jXVeOsPzmY66oQvMKw5iv2wuxof_6Q3ooo30pMvCSjFtDvQpUARzHSvYRnyVnJKwnKMCLgeWaJWpT_PX1u5K6JyNLH5hwuUiB_xkxyTbP9pzhW8zU82Wyp93rBuDHfxwaZRyWT-n-LkpQW6WGKtp5G2saGF8zfjoeIJ_5wAvMEK7_Q1qCu_" \t "https://www.baidu.com/_blank" </w:instrText>
      </w:r>
      <w:r>
        <w:fldChar w:fldCharType="separate"/>
      </w:r>
      <w:r>
        <w:rPr>
          <w:rFonts w:ascii="Times New Roman"/>
          <w:szCs w:val="21"/>
        </w:rPr>
        <w:t>出入口控制系统技术要求</w:t>
      </w:r>
      <w:r>
        <w:rPr>
          <w:rFonts w:ascii="Times New Roman"/>
          <w:szCs w:val="21"/>
        </w:rPr>
        <w:fldChar w:fldCharType="end"/>
      </w:r>
    </w:p>
    <w:p w14:paraId="5708F41A">
      <w:pPr>
        <w:pStyle w:val="19"/>
        <w:numPr>
          <w:ilvl w:val="255"/>
          <w:numId w:val="0"/>
        </w:numPr>
        <w:ind w:firstLine="420"/>
        <w:rPr>
          <w:rFonts w:ascii="Times New Roman"/>
          <w:szCs w:val="21"/>
        </w:rPr>
      </w:pPr>
      <w:r>
        <w:rPr>
          <w:rFonts w:hint="eastAsia" w:ascii="Times New Roman"/>
          <w:szCs w:val="21"/>
        </w:rPr>
        <w:t>GB/T 50326 建设工程项目管理规范</w:t>
      </w:r>
    </w:p>
    <w:p w14:paraId="340D6F04">
      <w:pPr>
        <w:pStyle w:val="19"/>
        <w:ind w:firstLine="420"/>
        <w:rPr>
          <w:rFonts w:ascii="Times New Roman"/>
          <w:szCs w:val="21"/>
        </w:rPr>
      </w:pPr>
      <w:r>
        <w:rPr>
          <w:rFonts w:ascii="Times New Roman"/>
          <w:szCs w:val="21"/>
        </w:rPr>
        <w:t>GB 50348</w:t>
      </w:r>
      <w:r>
        <w:rPr>
          <w:rFonts w:hint="eastAsia" w:ascii="Times New Roman"/>
          <w:szCs w:val="21"/>
        </w:rPr>
        <w:t xml:space="preserve"> </w:t>
      </w:r>
      <w:r>
        <w:fldChar w:fldCharType="begin"/>
      </w:r>
      <w:r>
        <w:instrText xml:space="preserve"> HYPERLINK "http://www.baidu.com/link?url=L31M8ojpBTxJtInFpuCxsBuJOoIfZf4jp-4a-i8jQRljq-Gi85ZijwU2OZPRcz5M" \t "https://www.baidu.com/_blank" </w:instrText>
      </w:r>
      <w:r>
        <w:fldChar w:fldCharType="separate"/>
      </w:r>
      <w:r>
        <w:rPr>
          <w:rFonts w:ascii="Times New Roman"/>
          <w:szCs w:val="21"/>
        </w:rPr>
        <w:t>安全防范工程技术标准</w:t>
      </w:r>
      <w:r>
        <w:rPr>
          <w:rFonts w:ascii="Times New Roman"/>
          <w:szCs w:val="21"/>
        </w:rPr>
        <w:fldChar w:fldCharType="end"/>
      </w:r>
    </w:p>
    <w:p w14:paraId="103AFACB">
      <w:pPr>
        <w:pStyle w:val="19"/>
        <w:ind w:firstLine="420"/>
        <w:rPr>
          <w:rFonts w:ascii="Times New Roman"/>
          <w:szCs w:val="21"/>
        </w:rPr>
      </w:pPr>
      <w:r>
        <w:rPr>
          <w:rFonts w:hint="eastAsia" w:ascii="Times New Roman"/>
          <w:szCs w:val="21"/>
          <w:lang w:val="en-GB"/>
        </w:rPr>
        <w:t>GB</w:t>
      </w:r>
      <w:r>
        <w:rPr>
          <w:rFonts w:hint="eastAsia" w:ascii="Times New Roman"/>
          <w:szCs w:val="21"/>
        </w:rPr>
        <w:t xml:space="preserve"> </w:t>
      </w:r>
      <w:r>
        <w:rPr>
          <w:rFonts w:hint="eastAsia" w:ascii="Times New Roman"/>
          <w:szCs w:val="21"/>
          <w:lang w:val="en-GB"/>
        </w:rPr>
        <w:t>55029</w:t>
      </w:r>
      <w:r>
        <w:rPr>
          <w:rFonts w:hint="eastAsia" w:ascii="Times New Roman"/>
          <w:szCs w:val="21"/>
        </w:rPr>
        <w:t xml:space="preserve"> 安全防范工程通用规范</w:t>
      </w:r>
    </w:p>
    <w:p w14:paraId="4BDFD4B8">
      <w:pPr>
        <w:pStyle w:val="19"/>
        <w:ind w:firstLine="420"/>
        <w:rPr>
          <w:rFonts w:ascii="Times New Roman"/>
          <w:szCs w:val="21"/>
          <w:highlight w:val="none"/>
        </w:rPr>
      </w:pPr>
      <w:r>
        <w:rPr>
          <w:rFonts w:hint="eastAsia" w:ascii="Times New Roman"/>
          <w:szCs w:val="21"/>
          <w:highlight w:val="none"/>
        </w:rPr>
        <w:t>GA/T 594 保安服务操作规程与质量控制</w:t>
      </w:r>
    </w:p>
    <w:p w14:paraId="47F9ABFA">
      <w:pPr>
        <w:pStyle w:val="19"/>
        <w:ind w:firstLine="420"/>
        <w:rPr>
          <w:rFonts w:ascii="Times New Roman"/>
          <w:szCs w:val="21"/>
        </w:rPr>
      </w:pPr>
      <w:r>
        <w:rPr>
          <w:rFonts w:hint="eastAsia" w:ascii="Times New Roman"/>
          <w:szCs w:val="21"/>
          <w:lang w:val="en-GB"/>
        </w:rPr>
        <w:t>GA/T</w:t>
      </w:r>
      <w:r>
        <w:rPr>
          <w:rFonts w:hint="eastAsia" w:ascii="Times New Roman"/>
          <w:szCs w:val="21"/>
        </w:rPr>
        <w:t xml:space="preserve"> </w:t>
      </w:r>
      <w:r>
        <w:rPr>
          <w:rFonts w:hint="eastAsia" w:ascii="Times New Roman"/>
          <w:szCs w:val="21"/>
          <w:lang w:val="en-GB"/>
        </w:rPr>
        <w:t>1081</w:t>
      </w:r>
      <w:r>
        <w:rPr>
          <w:rFonts w:hint="eastAsia" w:ascii="Times New Roman"/>
          <w:szCs w:val="21"/>
        </w:rPr>
        <w:t xml:space="preserve"> 安全防范系统维护保养规范</w:t>
      </w:r>
    </w:p>
    <w:p w14:paraId="173D5411">
      <w:pPr>
        <w:pStyle w:val="19"/>
        <w:ind w:firstLine="420"/>
        <w:rPr>
          <w:rFonts w:ascii="Times New Roman"/>
          <w:szCs w:val="21"/>
        </w:rPr>
      </w:pPr>
      <w:bookmarkStart w:id="128" w:name="OLE_LINK3"/>
      <w:r>
        <w:rPr>
          <w:rFonts w:hint="eastAsia" w:ascii="Times New Roman"/>
          <w:szCs w:val="21"/>
        </w:rPr>
        <w:t>WW/T 0018 馆藏文物出入库规范</w:t>
      </w:r>
    </w:p>
    <w:p w14:paraId="4C32BA45">
      <w:pPr>
        <w:pStyle w:val="19"/>
        <w:ind w:firstLine="420"/>
        <w:rPr>
          <w:rFonts w:ascii="Times New Roman"/>
          <w:szCs w:val="21"/>
        </w:rPr>
      </w:pPr>
      <w:r>
        <w:rPr>
          <w:rFonts w:hint="eastAsia" w:ascii="Times New Roman"/>
          <w:szCs w:val="21"/>
        </w:rPr>
        <w:t>WW/T 0019 馆藏文物展览点交规范</w:t>
      </w:r>
    </w:p>
    <w:p w14:paraId="1CC8592C">
      <w:pPr>
        <w:pStyle w:val="19"/>
        <w:ind w:firstLine="420"/>
        <w:rPr>
          <w:rFonts w:ascii="Times New Roman"/>
          <w:szCs w:val="21"/>
        </w:rPr>
      </w:pPr>
      <w:r>
        <w:rPr>
          <w:rFonts w:hint="eastAsia" w:ascii="Times New Roman"/>
          <w:szCs w:val="21"/>
        </w:rPr>
        <w:t>WW/T 0083 文物保护单位游客承载量评估规范</w:t>
      </w:r>
    </w:p>
    <w:p w14:paraId="674DFA0C">
      <w:pPr>
        <w:pStyle w:val="19"/>
        <w:ind w:firstLine="420"/>
        <w:rPr>
          <w:rFonts w:ascii="Times New Roman"/>
          <w:szCs w:val="21"/>
        </w:rPr>
      </w:pPr>
      <w:r>
        <w:rPr>
          <w:rFonts w:hint="eastAsia" w:ascii="Times New Roman"/>
          <w:szCs w:val="21"/>
        </w:rPr>
        <w:t>WW/T 0089 博物馆陈列展览形式设计与施工规范</w:t>
      </w:r>
    </w:p>
    <w:p w14:paraId="51AD21F3">
      <w:pPr>
        <w:pStyle w:val="19"/>
        <w:ind w:firstLine="420"/>
        <w:rPr>
          <w:rFonts w:ascii="Times New Roman"/>
          <w:szCs w:val="21"/>
        </w:rPr>
      </w:pPr>
      <w:r>
        <w:rPr>
          <w:rFonts w:hint="eastAsia" w:ascii="Times New Roman"/>
          <w:szCs w:val="21"/>
        </w:rPr>
        <w:t xml:space="preserve">WW/T 0111 </w:t>
      </w:r>
      <w:r>
        <w:rPr>
          <w:rFonts w:ascii="Times New Roman"/>
          <w:szCs w:val="21"/>
        </w:rPr>
        <w:t>博物馆公共安全应急管理规范</w:t>
      </w:r>
    </w:p>
    <w:bookmarkEnd w:id="128"/>
    <w:p w14:paraId="4EBB7529">
      <w:pPr>
        <w:pStyle w:val="33"/>
        <w:spacing w:before="240" w:after="240"/>
        <w:rPr>
          <w:rFonts w:ascii="Times New Roman"/>
          <w:szCs w:val="21"/>
        </w:rPr>
      </w:pPr>
      <w:bookmarkStart w:id="129" w:name="_Toc68082338"/>
      <w:bookmarkStart w:id="130" w:name="_Toc204"/>
      <w:bookmarkStart w:id="131" w:name="_Toc68095419"/>
      <w:bookmarkStart w:id="132" w:name="_Toc17390"/>
      <w:bookmarkStart w:id="133" w:name="_Toc3353"/>
      <w:bookmarkStart w:id="134" w:name="_Toc91503782"/>
      <w:bookmarkStart w:id="135" w:name="_Toc22810"/>
      <w:bookmarkStart w:id="136" w:name="_Toc24035"/>
      <w:bookmarkStart w:id="137" w:name="_Toc9899"/>
      <w:bookmarkStart w:id="138" w:name="_Toc13719"/>
      <w:bookmarkStart w:id="139" w:name="_Toc17682"/>
      <w:bookmarkStart w:id="140" w:name="_Toc28212"/>
      <w:bookmarkStart w:id="141" w:name="_Toc16646"/>
      <w:bookmarkStart w:id="142" w:name="_Toc68083982"/>
      <w:bookmarkStart w:id="143" w:name="_Toc1078"/>
      <w:bookmarkStart w:id="144" w:name="_Toc32388"/>
      <w:bookmarkStart w:id="145" w:name="_Toc30746"/>
      <w:bookmarkStart w:id="146" w:name="_Toc23323"/>
      <w:bookmarkStart w:id="147" w:name="_Toc3793"/>
      <w:bookmarkStart w:id="148" w:name="_Toc677"/>
      <w:bookmarkStart w:id="149" w:name="_Toc13028"/>
      <w:bookmarkStart w:id="150" w:name="_Toc68798849"/>
      <w:bookmarkStart w:id="151" w:name="_Toc1562"/>
      <w:bookmarkStart w:id="152" w:name="_Toc68096084"/>
      <w:bookmarkStart w:id="153" w:name="_Toc91509775"/>
      <w:bookmarkStart w:id="154" w:name="_Toc16356"/>
      <w:bookmarkStart w:id="155" w:name="_Toc91503737"/>
      <w:r>
        <w:rPr>
          <w:rFonts w:hint="eastAsia" w:ascii="Times New Roman"/>
          <w:szCs w:val="21"/>
        </w:rPr>
        <w:t>术语和定义</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sdt>
      <w:sdtPr>
        <w:rPr>
          <w:rFonts w:ascii="Times New Roman"/>
          <w:szCs w:val="21"/>
        </w:rPr>
        <w:id w:val="-1"/>
        <w:placeholder>
          <w:docPart w:val="{e31af484-655b-426b-9600-915bba1b376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szCs w:val="21"/>
        </w:rPr>
      </w:sdtEndPr>
      <w:sdtContent>
        <w:p w14:paraId="4B02A543">
          <w:pPr>
            <w:pStyle w:val="19"/>
            <w:ind w:firstLine="420"/>
            <w:rPr>
              <w:rFonts w:ascii="Times New Roman"/>
              <w:szCs w:val="21"/>
            </w:rPr>
          </w:pPr>
          <w:bookmarkStart w:id="156" w:name="_Toc26986532"/>
          <w:bookmarkEnd w:id="156"/>
          <w:r>
            <w:rPr>
              <w:rFonts w:ascii="Times New Roman"/>
              <w:szCs w:val="21"/>
            </w:rPr>
            <w:t>下列术语和定义适用于本文件。</w:t>
          </w:r>
        </w:p>
      </w:sdtContent>
    </w:sdt>
    <w:p w14:paraId="5F9FC63A">
      <w:pPr>
        <w:pStyle w:val="34"/>
        <w:ind w:left="420" w:hanging="420" w:hangingChars="200"/>
        <w:rPr>
          <w:rFonts w:ascii="Times New Roman"/>
          <w:szCs w:val="21"/>
        </w:rPr>
      </w:pPr>
      <w:bookmarkStart w:id="157" w:name="_Toc5691"/>
      <w:bookmarkStart w:id="158" w:name="_Toc20049"/>
      <w:bookmarkStart w:id="159" w:name="_Toc4998"/>
      <w:bookmarkStart w:id="160" w:name="_Toc13873"/>
      <w:bookmarkStart w:id="161" w:name="_Toc24094"/>
      <w:bookmarkStart w:id="162" w:name="_Toc21162"/>
      <w:bookmarkStart w:id="163" w:name="_Toc26284"/>
      <w:bookmarkStart w:id="164" w:name="_Toc6551"/>
      <w:bookmarkStart w:id="165" w:name="_Toc1337"/>
    </w:p>
    <w:p w14:paraId="52E0FD23">
      <w:pPr>
        <w:pStyle w:val="34"/>
        <w:numPr>
          <w:ilvl w:val="2"/>
          <w:numId w:val="0"/>
        </w:numPr>
        <w:ind w:left="-420" w:leftChars="-200" w:firstLine="840" w:firstLineChars="400"/>
        <w:rPr>
          <w:rFonts w:ascii="Times New Roman" w:eastAsia="黑体"/>
          <w:szCs w:val="21"/>
        </w:rPr>
      </w:pPr>
      <w:r>
        <w:rPr>
          <w:rFonts w:hint="eastAsia" w:ascii="Times New Roman" w:eastAsia="黑体"/>
          <w:szCs w:val="21"/>
        </w:rPr>
        <w:t xml:space="preserve">安全保卫人员 </w:t>
      </w:r>
      <w:r>
        <w:rPr>
          <w:rFonts w:ascii="Times New Roman" w:eastAsia="黑体"/>
          <w:szCs w:val="21"/>
        </w:rPr>
        <w:t>security staff</w:t>
      </w:r>
    </w:p>
    <w:p w14:paraId="0B623375">
      <w:pPr>
        <w:pStyle w:val="19"/>
        <w:ind w:firstLine="420"/>
        <w:rPr>
          <w:rFonts w:ascii="Times New Roman"/>
        </w:rPr>
      </w:pPr>
      <w:r>
        <w:rPr>
          <w:rFonts w:hint="eastAsia" w:ascii="Times New Roman"/>
        </w:rPr>
        <w:t>承担博物馆内治安秩序维护、治安防范、违法犯罪预防，保障博物馆人员、文物及财产安全的专职或兼职人员。</w:t>
      </w:r>
    </w:p>
    <w:p w14:paraId="221C83B3">
      <w:pPr>
        <w:pStyle w:val="19"/>
        <w:ind w:firstLine="360"/>
        <w:rPr>
          <w:rFonts w:ascii="Times New Roman"/>
        </w:rPr>
      </w:pPr>
      <w:r>
        <w:rPr>
          <w:rFonts w:hint="eastAsia" w:ascii="Times New Roman" w:eastAsia="黑体" w:cs="黑体"/>
          <w:sz w:val="18"/>
          <w:szCs w:val="18"/>
        </w:rPr>
        <w:t>注：</w:t>
      </w:r>
      <w:r>
        <w:rPr>
          <w:rFonts w:hint="eastAsia" w:ascii="Times New Roman"/>
          <w:sz w:val="18"/>
          <w:szCs w:val="18"/>
        </w:rPr>
        <w:t>包括但不限于保安员</w:t>
      </w:r>
      <w:r>
        <w:rPr>
          <w:rFonts w:ascii="Times New Roman"/>
          <w:sz w:val="18"/>
          <w:szCs w:val="18"/>
        </w:rPr>
        <w:t>等</w:t>
      </w:r>
      <w:r>
        <w:rPr>
          <w:rFonts w:hint="eastAsia" w:ascii="Times New Roman"/>
          <w:szCs w:val="21"/>
        </w:rPr>
        <w:t>。</w:t>
      </w:r>
    </w:p>
    <w:p w14:paraId="66FA07FA">
      <w:pPr>
        <w:pStyle w:val="34"/>
        <w:ind w:left="420" w:hanging="420" w:hangingChars="200"/>
        <w:rPr>
          <w:rFonts w:ascii="Times New Roman"/>
          <w:szCs w:val="21"/>
        </w:rPr>
      </w:pPr>
    </w:p>
    <w:p w14:paraId="01ED4C2E">
      <w:pPr>
        <w:pStyle w:val="34"/>
        <w:numPr>
          <w:ilvl w:val="2"/>
          <w:numId w:val="0"/>
        </w:numPr>
        <w:ind w:left="-420" w:leftChars="-200" w:firstLine="840" w:firstLineChars="400"/>
        <w:rPr>
          <w:rFonts w:ascii="Times New Roman" w:eastAsia="黑体"/>
          <w:szCs w:val="21"/>
        </w:rPr>
      </w:pPr>
      <w:r>
        <w:rPr>
          <w:rFonts w:ascii="Times New Roman" w:eastAsia="黑体"/>
          <w:szCs w:val="21"/>
        </w:rPr>
        <w:t>出入口 portal</w:t>
      </w:r>
    </w:p>
    <w:p w14:paraId="548DD58A">
      <w:pPr>
        <w:pStyle w:val="19"/>
        <w:ind w:firstLine="420"/>
        <w:rPr>
          <w:rFonts w:ascii="Times New Roman"/>
          <w:szCs w:val="21"/>
        </w:rPr>
      </w:pPr>
      <w:r>
        <w:rPr>
          <w:rFonts w:ascii="Times New Roman"/>
          <w:szCs w:val="21"/>
        </w:rPr>
        <w:t>用于放行被授权、拒绝未被授权的人员和/或物品出入的受控物理通道口。</w:t>
      </w:r>
    </w:p>
    <w:p w14:paraId="6F451F9E">
      <w:pPr>
        <w:pStyle w:val="19"/>
        <w:ind w:firstLine="420"/>
        <w:rPr>
          <w:rFonts w:ascii="Times New Roman"/>
          <w:szCs w:val="21"/>
        </w:rPr>
      </w:pPr>
      <w:r>
        <w:rPr>
          <w:rFonts w:ascii="Times New Roman"/>
          <w:szCs w:val="21"/>
        </w:rPr>
        <w:t>[来源：GB/T 37078</w:t>
      </w:r>
      <w:r>
        <w:rPr>
          <w:rFonts w:hint="eastAsia" w:ascii="Times New Roman"/>
          <w:szCs w:val="21"/>
        </w:rPr>
        <w:t>-2018，</w:t>
      </w:r>
      <w:r>
        <w:rPr>
          <w:rFonts w:ascii="Times New Roman"/>
          <w:szCs w:val="21"/>
        </w:rPr>
        <w:t>3.1.1]</w:t>
      </w:r>
    </w:p>
    <w:bookmarkEnd w:id="157"/>
    <w:bookmarkEnd w:id="158"/>
    <w:p w14:paraId="512FBB1B">
      <w:pPr>
        <w:pStyle w:val="34"/>
        <w:ind w:left="420" w:hanging="420" w:hangingChars="200"/>
        <w:rPr>
          <w:rFonts w:ascii="Times New Roman" w:eastAsia="黑体"/>
          <w:szCs w:val="21"/>
        </w:rPr>
      </w:pPr>
      <w:bookmarkStart w:id="166" w:name="_Toc7539"/>
      <w:bookmarkStart w:id="167" w:name="_Toc2062"/>
    </w:p>
    <w:p w14:paraId="089392D6">
      <w:pPr>
        <w:pStyle w:val="34"/>
        <w:numPr>
          <w:ilvl w:val="2"/>
          <w:numId w:val="0"/>
        </w:numPr>
        <w:ind w:left="-420" w:leftChars="-200" w:firstLine="840" w:firstLineChars="400"/>
        <w:rPr>
          <w:rFonts w:ascii="Times New Roman" w:eastAsia="黑体"/>
          <w:szCs w:val="21"/>
        </w:rPr>
      </w:pPr>
      <w:r>
        <w:rPr>
          <w:rFonts w:ascii="Times New Roman" w:eastAsia="黑体"/>
          <w:szCs w:val="21"/>
        </w:rPr>
        <w:t>电子防范系统 electronic protection system</w:t>
      </w:r>
      <w:bookmarkEnd w:id="159"/>
      <w:bookmarkEnd w:id="160"/>
      <w:bookmarkEnd w:id="161"/>
      <w:bookmarkEnd w:id="162"/>
      <w:bookmarkEnd w:id="163"/>
      <w:bookmarkEnd w:id="164"/>
      <w:bookmarkEnd w:id="165"/>
      <w:bookmarkEnd w:id="166"/>
      <w:bookmarkEnd w:id="167"/>
    </w:p>
    <w:p w14:paraId="20932273">
      <w:pPr>
        <w:pStyle w:val="19"/>
        <w:ind w:firstLine="420"/>
        <w:rPr>
          <w:rFonts w:ascii="Times New Roman"/>
          <w:szCs w:val="21"/>
        </w:rPr>
      </w:pPr>
      <w:r>
        <w:rPr>
          <w:rFonts w:ascii="Times New Roman"/>
          <w:szCs w:val="21"/>
        </w:rPr>
        <w:t>以安全防范为目的，利用各种电子设备构成的系统。通常包括入侵和紧急报警、视频监控、出入口控制、停车场（库）安全管理、防爆安全检查、电子巡查、</w:t>
      </w:r>
      <w:r>
        <w:rPr>
          <w:rFonts w:hint="eastAsia" w:ascii="Times New Roman"/>
          <w:szCs w:val="21"/>
        </w:rPr>
        <w:t>楼宇</w:t>
      </w:r>
      <w:r>
        <w:rPr>
          <w:rFonts w:ascii="Times New Roman"/>
          <w:szCs w:val="21"/>
        </w:rPr>
        <w:t xml:space="preserve">对讲等子系统。                          </w:t>
      </w:r>
    </w:p>
    <w:p w14:paraId="3D2941F3">
      <w:pPr>
        <w:pStyle w:val="19"/>
        <w:ind w:firstLine="420"/>
        <w:rPr>
          <w:rFonts w:ascii="Times New Roman"/>
          <w:szCs w:val="21"/>
        </w:rPr>
      </w:pPr>
      <w:r>
        <w:rPr>
          <w:rFonts w:ascii="Times New Roman"/>
          <w:szCs w:val="21"/>
        </w:rPr>
        <w:t>[来源：GB 50348</w:t>
      </w:r>
      <w:r>
        <w:rPr>
          <w:rFonts w:hint="eastAsia" w:ascii="Times New Roman"/>
          <w:szCs w:val="21"/>
        </w:rPr>
        <w:t>-2018，</w:t>
      </w:r>
      <w:r>
        <w:rPr>
          <w:rFonts w:ascii="Times New Roman"/>
          <w:szCs w:val="21"/>
        </w:rPr>
        <w:t>2.0.</w:t>
      </w:r>
      <w:r>
        <w:rPr>
          <w:rFonts w:hint="eastAsia" w:ascii="Times New Roman"/>
          <w:szCs w:val="21"/>
        </w:rPr>
        <w:t>8</w:t>
      </w:r>
      <w:r>
        <w:rPr>
          <w:rFonts w:ascii="Times New Roman"/>
          <w:szCs w:val="21"/>
        </w:rPr>
        <w:t>]</w:t>
      </w:r>
    </w:p>
    <w:p w14:paraId="6CAACD83">
      <w:pPr>
        <w:pStyle w:val="34"/>
        <w:ind w:left="420" w:hanging="420" w:hangingChars="200"/>
        <w:rPr>
          <w:rFonts w:ascii="Times New Roman" w:eastAsia="黑体"/>
          <w:szCs w:val="21"/>
        </w:rPr>
      </w:pPr>
    </w:p>
    <w:p w14:paraId="553477EF">
      <w:pPr>
        <w:pStyle w:val="34"/>
        <w:numPr>
          <w:ilvl w:val="2"/>
          <w:numId w:val="0"/>
        </w:numPr>
        <w:ind w:left="-420" w:leftChars="-200" w:firstLine="840" w:firstLineChars="400"/>
        <w:rPr>
          <w:rFonts w:ascii="Times New Roman" w:eastAsia="黑体"/>
          <w:szCs w:val="21"/>
        </w:rPr>
      </w:pPr>
      <w:r>
        <w:rPr>
          <w:rFonts w:ascii="Times New Roman" w:eastAsia="黑体"/>
          <w:szCs w:val="21"/>
        </w:rPr>
        <w:t>风险</w:t>
      </w:r>
      <w:r>
        <w:rPr>
          <w:rFonts w:hint="eastAsia" w:ascii="Times New Roman" w:eastAsia="黑体"/>
          <w:szCs w:val="21"/>
        </w:rPr>
        <w:t>评估 risk assessment</w:t>
      </w:r>
    </w:p>
    <w:p w14:paraId="249997DA">
      <w:pPr>
        <w:pStyle w:val="19"/>
        <w:ind w:firstLine="420"/>
        <w:rPr>
          <w:rFonts w:ascii="Times New Roman"/>
          <w:szCs w:val="21"/>
        </w:rPr>
      </w:pPr>
      <w:r>
        <w:rPr>
          <w:rFonts w:hint="eastAsia" w:ascii="Times New Roman"/>
          <w:szCs w:val="21"/>
        </w:rPr>
        <w:t>风险识别、风险分析和风险评价的全过程。</w:t>
      </w:r>
    </w:p>
    <w:p w14:paraId="251FD2D5">
      <w:pPr>
        <w:pStyle w:val="19"/>
        <w:ind w:firstLine="420" w:firstLineChars="0"/>
        <w:rPr>
          <w:rFonts w:ascii="Times New Roman"/>
          <w:szCs w:val="21"/>
        </w:rPr>
      </w:pPr>
      <w:r>
        <w:rPr>
          <w:rFonts w:ascii="Times New Roman"/>
          <w:szCs w:val="21"/>
        </w:rPr>
        <w:t>[来源：</w:t>
      </w:r>
      <w:r>
        <w:fldChar w:fldCharType="begin"/>
      </w:r>
      <w:r>
        <w:instrText xml:space="preserve"> HYPERLINK "http://www.baidu.com/link?url=jVlScRfJknKk_YeSFqRSLOtxhFo5iXbjI0Bm_1zqL5NsQLe9Qh0v8lWdIS2Zbu5IHvfTD1SdxjPEsp72DnP9XK" \t "https://www.baidu.com/_blank" </w:instrText>
      </w:r>
      <w:r>
        <w:fldChar w:fldCharType="separate"/>
      </w:r>
      <w:r>
        <w:rPr>
          <w:rFonts w:ascii="Times New Roman"/>
          <w:szCs w:val="21"/>
        </w:rPr>
        <w:t>GB</w:t>
      </w:r>
      <w:r>
        <w:rPr>
          <w:rFonts w:hint="eastAsia" w:ascii="Times New Roman"/>
          <w:szCs w:val="21"/>
        </w:rPr>
        <w:t>/</w:t>
      </w:r>
      <w:r>
        <w:rPr>
          <w:rFonts w:ascii="Times New Roman"/>
          <w:szCs w:val="21"/>
        </w:rPr>
        <w:t>T </w:t>
      </w:r>
      <w:r>
        <w:rPr>
          <w:rFonts w:ascii="Times New Roman"/>
          <w:szCs w:val="21"/>
        </w:rPr>
        <w:fldChar w:fldCharType="end"/>
      </w:r>
      <w:r>
        <w:rPr>
          <w:rFonts w:ascii="Times New Roman"/>
          <w:szCs w:val="21"/>
        </w:rPr>
        <w:t>23694</w:t>
      </w:r>
      <w:r>
        <w:rPr>
          <w:rFonts w:hint="eastAsia" w:ascii="Times New Roman"/>
          <w:szCs w:val="21"/>
        </w:rPr>
        <w:t>-20</w:t>
      </w:r>
      <w:r>
        <w:rPr>
          <w:rFonts w:ascii="Times New Roman"/>
          <w:szCs w:val="21"/>
        </w:rPr>
        <w:t>24</w:t>
      </w:r>
      <w:r>
        <w:rPr>
          <w:rFonts w:hint="eastAsia" w:ascii="Times New Roman"/>
          <w:szCs w:val="21"/>
        </w:rPr>
        <w:t>，3.</w:t>
      </w:r>
      <w:r>
        <w:rPr>
          <w:rFonts w:ascii="Times New Roman"/>
          <w:szCs w:val="21"/>
        </w:rPr>
        <w:t>3.8]</w:t>
      </w:r>
    </w:p>
    <w:p w14:paraId="496A2F52">
      <w:pPr>
        <w:pStyle w:val="34"/>
        <w:ind w:left="420" w:hanging="420" w:hangingChars="200"/>
        <w:rPr>
          <w:rFonts w:ascii="Times New Roman"/>
          <w:szCs w:val="21"/>
        </w:rPr>
      </w:pPr>
    </w:p>
    <w:p w14:paraId="78C7BCCD">
      <w:pPr>
        <w:pStyle w:val="34"/>
        <w:numPr>
          <w:ilvl w:val="2"/>
          <w:numId w:val="0"/>
        </w:numPr>
        <w:adjustRightInd w:val="0"/>
        <w:ind w:firstLine="420" w:firstLineChars="200"/>
        <w:rPr>
          <w:rFonts w:ascii="Times New Roman"/>
          <w:szCs w:val="21"/>
        </w:rPr>
      </w:pPr>
      <w:r>
        <w:rPr>
          <w:rFonts w:ascii="Times New Roman" w:eastAsia="黑体"/>
          <w:szCs w:val="21"/>
        </w:rPr>
        <w:t>监控中心 surveillance center</w:t>
      </w:r>
    </w:p>
    <w:p w14:paraId="10604F3F">
      <w:pPr>
        <w:pStyle w:val="19"/>
        <w:autoSpaceDE/>
        <w:autoSpaceDN/>
        <w:adjustRightInd w:val="0"/>
        <w:ind w:firstLine="420"/>
        <w:rPr>
          <w:rFonts w:ascii="Times New Roman"/>
          <w:szCs w:val="21"/>
        </w:rPr>
      </w:pPr>
      <w:r>
        <w:rPr>
          <w:rFonts w:ascii="Times New Roman"/>
          <w:szCs w:val="21"/>
        </w:rPr>
        <w:t>接收处理安全防范系统信息、处理报警事件、管理控制系统设备的中央控制室</w:t>
      </w:r>
      <w:r>
        <w:rPr>
          <w:rFonts w:hint="eastAsia" w:ascii="Times New Roman"/>
          <w:szCs w:val="21"/>
        </w:rPr>
        <w:t>，</w:t>
      </w:r>
      <w:r>
        <w:rPr>
          <w:rFonts w:ascii="Times New Roman"/>
          <w:szCs w:val="21"/>
        </w:rPr>
        <w:t>通常划分为值守区和设备区。</w:t>
      </w:r>
    </w:p>
    <w:p w14:paraId="6635D077">
      <w:pPr>
        <w:pStyle w:val="19"/>
        <w:ind w:firstLine="420"/>
        <w:rPr>
          <w:rFonts w:ascii="Times New Roman"/>
          <w:szCs w:val="21"/>
        </w:rPr>
      </w:pPr>
      <w:r>
        <w:rPr>
          <w:rFonts w:ascii="Times New Roman"/>
          <w:szCs w:val="21"/>
        </w:rPr>
        <w:t>[来源：GB 50348</w:t>
      </w:r>
      <w:r>
        <w:rPr>
          <w:rFonts w:hint="eastAsia" w:ascii="Times New Roman"/>
          <w:szCs w:val="21"/>
        </w:rPr>
        <w:t>-2018，</w:t>
      </w:r>
      <w:r>
        <w:rPr>
          <w:rFonts w:ascii="Times New Roman"/>
          <w:szCs w:val="21"/>
        </w:rPr>
        <w:t>2.0.36]</w:t>
      </w:r>
    </w:p>
    <w:p w14:paraId="066997A1">
      <w:pPr>
        <w:pStyle w:val="34"/>
        <w:ind w:left="420" w:hanging="420" w:hangingChars="200"/>
        <w:rPr>
          <w:rFonts w:ascii="Times New Roman" w:eastAsia="黑体"/>
          <w:szCs w:val="21"/>
        </w:rPr>
      </w:pPr>
      <w:bookmarkStart w:id="168" w:name="_Toc22138"/>
      <w:bookmarkStart w:id="169" w:name="_Toc18763"/>
      <w:bookmarkStart w:id="170" w:name="_Toc18963"/>
      <w:bookmarkStart w:id="171" w:name="_Toc21333"/>
      <w:bookmarkStart w:id="172" w:name="_Toc23620"/>
      <w:bookmarkStart w:id="173" w:name="_Toc4031"/>
      <w:bookmarkStart w:id="174" w:name="_Toc3981"/>
      <w:bookmarkStart w:id="175" w:name="_Toc20973"/>
      <w:bookmarkStart w:id="176" w:name="_Toc16706"/>
    </w:p>
    <w:p w14:paraId="0A56BF8D">
      <w:pPr>
        <w:pStyle w:val="34"/>
        <w:numPr>
          <w:ilvl w:val="2"/>
          <w:numId w:val="0"/>
        </w:numPr>
        <w:ind w:left="-420" w:leftChars="-200" w:firstLine="840" w:firstLineChars="400"/>
        <w:rPr>
          <w:rFonts w:ascii="Times New Roman" w:eastAsia="黑体"/>
          <w:szCs w:val="21"/>
        </w:rPr>
      </w:pPr>
      <w:r>
        <w:rPr>
          <w:rFonts w:ascii="Times New Roman" w:eastAsia="黑体"/>
          <w:szCs w:val="21"/>
        </w:rPr>
        <w:t>相关方 related parties</w:t>
      </w:r>
      <w:bookmarkEnd w:id="168"/>
      <w:bookmarkEnd w:id="169"/>
      <w:bookmarkEnd w:id="170"/>
      <w:bookmarkEnd w:id="171"/>
      <w:bookmarkEnd w:id="172"/>
      <w:bookmarkEnd w:id="173"/>
      <w:bookmarkEnd w:id="174"/>
      <w:bookmarkEnd w:id="175"/>
      <w:bookmarkEnd w:id="176"/>
    </w:p>
    <w:p w14:paraId="35D41085">
      <w:pPr>
        <w:pStyle w:val="19"/>
        <w:ind w:firstLine="420"/>
        <w:rPr>
          <w:rFonts w:ascii="Times New Roman"/>
          <w:szCs w:val="21"/>
        </w:rPr>
      </w:pPr>
      <w:r>
        <w:rPr>
          <w:rFonts w:ascii="Times New Roman"/>
          <w:szCs w:val="21"/>
        </w:rPr>
        <w:t>与博物馆</w:t>
      </w:r>
      <w:r>
        <w:rPr>
          <w:rFonts w:hint="eastAsia" w:ascii="Times New Roman"/>
          <w:szCs w:val="21"/>
        </w:rPr>
        <w:t>安全保卫</w:t>
      </w:r>
      <w:r>
        <w:rPr>
          <w:rFonts w:ascii="Times New Roman"/>
          <w:szCs w:val="21"/>
        </w:rPr>
        <w:t>管理有关或受其影响的个人或团体。</w:t>
      </w:r>
    </w:p>
    <w:p w14:paraId="18E5FA7A">
      <w:pPr>
        <w:pStyle w:val="19"/>
        <w:autoSpaceDE/>
        <w:autoSpaceDN/>
        <w:adjustRightInd w:val="0"/>
        <w:ind w:firstLine="360"/>
        <w:rPr>
          <w:rFonts w:ascii="Times New Roman"/>
          <w:szCs w:val="21"/>
        </w:rPr>
      </w:pPr>
      <w:r>
        <w:rPr>
          <w:rFonts w:hint="eastAsia" w:ascii="Times New Roman" w:eastAsia="黑体" w:cs="黑体"/>
          <w:sz w:val="18"/>
          <w:szCs w:val="18"/>
        </w:rPr>
        <w:t>注：</w:t>
      </w:r>
      <w:r>
        <w:rPr>
          <w:rFonts w:hint="eastAsia" w:ascii="Times New Roman"/>
          <w:sz w:val="18"/>
          <w:szCs w:val="18"/>
        </w:rPr>
        <w:t>相关方包括但不限于</w:t>
      </w:r>
      <w:r>
        <w:rPr>
          <w:rFonts w:ascii="Times New Roman"/>
          <w:sz w:val="18"/>
          <w:szCs w:val="18"/>
        </w:rPr>
        <w:t>政府管理部门、施工单位、经营商户</w:t>
      </w:r>
      <w:r>
        <w:rPr>
          <w:rFonts w:hint="eastAsia" w:ascii="Times New Roman"/>
          <w:sz w:val="18"/>
          <w:szCs w:val="18"/>
        </w:rPr>
        <w:t>、</w:t>
      </w:r>
      <w:r>
        <w:rPr>
          <w:rFonts w:ascii="Times New Roman"/>
          <w:sz w:val="18"/>
          <w:szCs w:val="18"/>
        </w:rPr>
        <w:t>物业服务公司、科研合作单位、</w:t>
      </w:r>
      <w:r>
        <w:rPr>
          <w:rFonts w:hint="eastAsia" w:ascii="Times New Roman"/>
          <w:sz w:val="18"/>
          <w:szCs w:val="18"/>
        </w:rPr>
        <w:t>志愿者、临时工作人员</w:t>
      </w:r>
      <w:r>
        <w:rPr>
          <w:rFonts w:ascii="Times New Roman"/>
          <w:sz w:val="18"/>
          <w:szCs w:val="18"/>
        </w:rPr>
        <w:t>等</w:t>
      </w:r>
      <w:r>
        <w:rPr>
          <w:rFonts w:hint="eastAsia" w:ascii="Times New Roman"/>
          <w:szCs w:val="21"/>
        </w:rPr>
        <w:t>。</w:t>
      </w:r>
    </w:p>
    <w:p w14:paraId="712C9C27">
      <w:pPr>
        <w:pStyle w:val="34"/>
        <w:ind w:left="420" w:hanging="420" w:hangingChars="200"/>
        <w:rPr>
          <w:rFonts w:ascii="Times New Roman" w:eastAsia="黑体"/>
          <w:szCs w:val="21"/>
        </w:rPr>
      </w:pPr>
    </w:p>
    <w:p w14:paraId="21DB0745">
      <w:pPr>
        <w:pStyle w:val="34"/>
        <w:numPr>
          <w:ilvl w:val="2"/>
          <w:numId w:val="0"/>
        </w:numPr>
        <w:ind w:left="-420" w:leftChars="-200" w:firstLine="840" w:firstLineChars="400"/>
        <w:rPr>
          <w:rFonts w:ascii="Times New Roman" w:eastAsia="黑体"/>
          <w:szCs w:val="21"/>
        </w:rPr>
      </w:pPr>
      <w:r>
        <w:rPr>
          <w:rFonts w:ascii="Times New Roman" w:eastAsia="黑体"/>
          <w:szCs w:val="21"/>
        </w:rPr>
        <w:t>重点部位 key locations</w:t>
      </w:r>
    </w:p>
    <w:p w14:paraId="52885E46">
      <w:pPr>
        <w:pStyle w:val="19"/>
        <w:autoSpaceDE/>
        <w:autoSpaceDN/>
        <w:ind w:firstLine="420" w:firstLineChars="0"/>
        <w:rPr>
          <w:rFonts w:ascii="Times New Roman"/>
          <w:szCs w:val="21"/>
        </w:rPr>
      </w:pPr>
      <w:r>
        <w:rPr>
          <w:rFonts w:ascii="Times New Roman"/>
          <w:szCs w:val="21"/>
        </w:rPr>
        <w:t>博物馆内</w:t>
      </w:r>
      <w:r>
        <w:rPr>
          <w:rFonts w:hint="eastAsia" w:ascii="Times New Roman"/>
          <w:szCs w:val="21"/>
        </w:rPr>
        <w:t>藏品价值高、功能关键、风险集中的特定区域、设施或场所</w:t>
      </w:r>
      <w:r>
        <w:rPr>
          <w:rFonts w:ascii="Times New Roman"/>
          <w:szCs w:val="21"/>
        </w:rPr>
        <w:t>。</w:t>
      </w:r>
    </w:p>
    <w:bookmarkEnd w:id="54"/>
    <w:p w14:paraId="4A1EC25E">
      <w:pPr>
        <w:pStyle w:val="33"/>
        <w:spacing w:before="240" w:after="240"/>
        <w:rPr>
          <w:rFonts w:ascii="Times New Roman"/>
          <w:szCs w:val="21"/>
        </w:rPr>
      </w:pPr>
      <w:bookmarkStart w:id="177" w:name="_Toc20552"/>
      <w:bookmarkStart w:id="178" w:name="_Toc20094"/>
      <w:bookmarkStart w:id="179" w:name="_Toc14006"/>
      <w:bookmarkStart w:id="180" w:name="_Toc7553"/>
      <w:bookmarkStart w:id="181" w:name="_Toc2106"/>
      <w:bookmarkStart w:id="182" w:name="_Toc23357"/>
      <w:bookmarkStart w:id="183" w:name="_Toc18201"/>
      <w:bookmarkStart w:id="184" w:name="_Toc19865"/>
      <w:bookmarkStart w:id="185" w:name="_Toc1876"/>
      <w:bookmarkStart w:id="186" w:name="_Toc8617"/>
      <w:bookmarkStart w:id="187" w:name="_Toc27145"/>
      <w:bookmarkStart w:id="188" w:name="_Toc91509816"/>
      <w:bookmarkStart w:id="189" w:name="_Toc91503777"/>
      <w:bookmarkStart w:id="190" w:name="_Toc10144"/>
      <w:bookmarkStart w:id="191" w:name="_Toc91503814"/>
      <w:r>
        <w:rPr>
          <w:rFonts w:hint="eastAsia" w:ascii="Times New Roman"/>
          <w:szCs w:val="21"/>
        </w:rPr>
        <w:t>基本要求</w:t>
      </w:r>
      <w:bookmarkEnd w:id="177"/>
      <w:bookmarkEnd w:id="178"/>
      <w:bookmarkEnd w:id="179"/>
      <w:bookmarkEnd w:id="180"/>
      <w:bookmarkEnd w:id="181"/>
      <w:bookmarkEnd w:id="182"/>
      <w:bookmarkEnd w:id="183"/>
      <w:bookmarkEnd w:id="184"/>
      <w:bookmarkEnd w:id="185"/>
      <w:bookmarkEnd w:id="186"/>
      <w:bookmarkEnd w:id="187"/>
    </w:p>
    <w:p w14:paraId="756ED786">
      <w:pPr>
        <w:numPr>
          <w:ilvl w:val="0"/>
          <w:numId w:val="5"/>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安全保卫应遵循“安全第一、预防为主，以人为本、保护文物，协同联动、持续改进”的原则。</w:t>
      </w:r>
    </w:p>
    <w:p w14:paraId="66A878B4">
      <w:pPr>
        <w:numPr>
          <w:ilvl w:val="0"/>
          <w:numId w:val="5"/>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博物馆</w:t>
      </w:r>
      <w:r>
        <w:rPr>
          <w:rFonts w:hint="default" w:ascii="Times New Roman" w:hAnsi="Times New Roman"/>
        </w:rPr>
        <w:t>宜参照</w:t>
      </w:r>
      <w:r>
        <w:fldChar w:fldCharType="begin"/>
      </w:r>
      <w:r>
        <w:instrText xml:space="preserve"> HYPERLINK "javascript:void(0)" </w:instrText>
      </w:r>
      <w:r>
        <w:fldChar w:fldCharType="separate"/>
      </w:r>
      <w:r>
        <w:rPr>
          <w:rFonts w:ascii="Times New Roman" w:hAnsi="Times New Roman"/>
        </w:rPr>
        <w:t>GB/T 24353、</w:t>
      </w:r>
      <w:r>
        <w:rPr>
          <w:rFonts w:ascii="Times New Roman" w:hAnsi="Times New Roman"/>
        </w:rPr>
        <w:fldChar w:fldCharType="end"/>
      </w:r>
      <w:r>
        <w:fldChar w:fldCharType="begin"/>
      </w:r>
      <w:r>
        <w:instrText xml:space="preserve"> HYPERLINK "javascript:void(0)" </w:instrText>
      </w:r>
      <w:r>
        <w:fldChar w:fldCharType="separate"/>
      </w:r>
      <w:r>
        <w:rPr>
          <w:rFonts w:ascii="Times New Roman" w:hAnsi="Times New Roman"/>
        </w:rPr>
        <w:t>GB/T 27921</w:t>
      </w:r>
      <w:r>
        <w:rPr>
          <w:rFonts w:ascii="Times New Roman" w:hAnsi="Times New Roman"/>
        </w:rPr>
        <w:fldChar w:fldCharType="end"/>
      </w:r>
      <w:r>
        <w:rPr>
          <w:rFonts w:ascii="Times New Roman" w:hAnsi="Times New Roman"/>
        </w:rPr>
        <w:t>开</w:t>
      </w:r>
      <w:r>
        <w:rPr>
          <w:rFonts w:hint="eastAsia" w:ascii="Times New Roman" w:hAnsi="Times New Roman"/>
        </w:rPr>
        <w:t>展安全保卫风险评估，</w:t>
      </w:r>
      <w:r>
        <w:rPr>
          <w:rFonts w:hint="eastAsia" w:ascii="Times New Roman" w:hAnsi="Times New Roman"/>
          <w:lang w:bidi="ar"/>
        </w:rPr>
        <w:t>识别风险源、评估风险等级、确定风险控制措施</w:t>
      </w:r>
      <w:r>
        <w:rPr>
          <w:rFonts w:hint="eastAsia" w:ascii="Times New Roman" w:hAnsi="Times New Roman"/>
        </w:rPr>
        <w:t>，并定期更新风险评估结果。</w:t>
      </w:r>
    </w:p>
    <w:p w14:paraId="5501B5E2">
      <w:pPr>
        <w:numPr>
          <w:ilvl w:val="0"/>
          <w:numId w:val="5"/>
        </w:numPr>
        <w:tabs>
          <w:tab w:val="left" w:pos="312"/>
          <w:tab w:val="left" w:pos="960"/>
          <w:tab w:val="left" w:pos="1200"/>
          <w:tab w:val="clear" w:pos="0"/>
        </w:tabs>
        <w:spacing w:line="300" w:lineRule="auto"/>
        <w:rPr>
          <w:rFonts w:ascii="Times New Roman" w:hAnsi="Times New Roman"/>
        </w:rPr>
      </w:pPr>
      <w:r>
        <w:rPr>
          <w:rFonts w:hint="eastAsia" w:ascii="Times New Roman" w:hAnsi="Times New Roman"/>
        </w:rPr>
        <w:t>安全保卫措施应与</w:t>
      </w:r>
      <w:r>
        <w:rPr>
          <w:rFonts w:hint="eastAsia" w:ascii="Times New Roman" w:hAnsi="Times New Roman"/>
          <w:lang w:bidi="ar"/>
        </w:rPr>
        <w:t>新建、改建、扩建工程及展览、教育等主体业务活动</w:t>
      </w:r>
      <w:r>
        <w:rPr>
          <w:rFonts w:hint="eastAsia" w:ascii="Times New Roman" w:hAnsi="Times New Roman"/>
        </w:rPr>
        <w:t>同时设计、同时施工、同时投入使用。</w:t>
      </w:r>
    </w:p>
    <w:p w14:paraId="51162494">
      <w:pPr>
        <w:numPr>
          <w:ilvl w:val="0"/>
          <w:numId w:val="5"/>
        </w:numPr>
        <w:tabs>
          <w:tab w:val="left" w:pos="312"/>
          <w:tab w:val="left" w:pos="960"/>
          <w:tab w:val="left" w:pos="1200"/>
          <w:tab w:val="clear" w:pos="0"/>
        </w:tabs>
        <w:spacing w:line="300" w:lineRule="auto"/>
        <w:rPr>
          <w:rFonts w:ascii="Times New Roman" w:hAnsi="Times New Roman"/>
        </w:rPr>
      </w:pPr>
      <w:r>
        <w:rPr>
          <w:rFonts w:hint="eastAsia" w:ascii="Times New Roman" w:hAnsi="Times New Roman"/>
        </w:rPr>
        <w:t>博物馆应建立全员参与机制，发挥讲解员、保洁员、志愿者及其他现场工作人员在安全隐患排查、突发事件发现与上报方面的作用。</w:t>
      </w:r>
    </w:p>
    <w:p w14:paraId="3B44D67F">
      <w:pPr>
        <w:numPr>
          <w:ilvl w:val="0"/>
          <w:numId w:val="5"/>
        </w:numPr>
        <w:tabs>
          <w:tab w:val="left" w:pos="312"/>
          <w:tab w:val="left" w:pos="960"/>
          <w:tab w:val="left" w:pos="1200"/>
          <w:tab w:val="clear" w:pos="0"/>
        </w:tabs>
        <w:spacing w:line="300" w:lineRule="auto"/>
        <w:rPr>
          <w:rFonts w:ascii="Times New Roman" w:hAnsi="Times New Roman"/>
        </w:rPr>
      </w:pPr>
      <w:r>
        <w:rPr>
          <w:rFonts w:hint="eastAsia" w:ascii="Times New Roman" w:hAnsi="Times New Roman"/>
        </w:rPr>
        <w:t>博物馆应建立与公安、消防救援、武警、医疗急救等专业机构及周边单位的联动机制，明确信息通报、应急支援的程序和方式。</w:t>
      </w:r>
    </w:p>
    <w:p w14:paraId="1DAC9F29">
      <w:pPr>
        <w:pStyle w:val="33"/>
        <w:spacing w:before="240" w:after="240"/>
        <w:rPr>
          <w:rFonts w:ascii="Times New Roman"/>
          <w:szCs w:val="21"/>
        </w:rPr>
      </w:pPr>
      <w:bookmarkStart w:id="192" w:name="_Toc24772"/>
      <w:bookmarkStart w:id="193" w:name="_Toc1781"/>
      <w:bookmarkStart w:id="194" w:name="_Toc2825"/>
      <w:bookmarkStart w:id="195" w:name="_Toc21400"/>
      <w:bookmarkStart w:id="196" w:name="_Toc15955"/>
      <w:bookmarkStart w:id="197" w:name="_Toc12787"/>
      <w:bookmarkStart w:id="198" w:name="_Toc2056"/>
      <w:bookmarkStart w:id="199" w:name="_Toc20461"/>
      <w:bookmarkStart w:id="200" w:name="_Toc19824"/>
      <w:bookmarkStart w:id="201" w:name="_Toc30469"/>
      <w:bookmarkStart w:id="202" w:name="_Toc20931"/>
      <w:bookmarkStart w:id="203" w:name="_Toc22972"/>
      <w:r>
        <w:rPr>
          <w:rFonts w:hint="eastAsia" w:ascii="Times New Roman"/>
          <w:szCs w:val="21"/>
        </w:rPr>
        <w:t>机构、岗位和人员</w:t>
      </w:r>
      <w:bookmarkEnd w:id="192"/>
      <w:bookmarkEnd w:id="193"/>
      <w:bookmarkEnd w:id="194"/>
      <w:bookmarkEnd w:id="195"/>
      <w:bookmarkEnd w:id="196"/>
      <w:bookmarkEnd w:id="197"/>
      <w:bookmarkEnd w:id="198"/>
      <w:bookmarkEnd w:id="199"/>
      <w:bookmarkEnd w:id="200"/>
    </w:p>
    <w:p w14:paraId="52194A46">
      <w:pPr>
        <w:spacing w:line="300" w:lineRule="auto"/>
        <w:outlineLvl w:val="1"/>
        <w:rPr>
          <w:rFonts w:ascii="Times New Roman" w:hAnsi="Times New Roman"/>
          <w:b/>
          <w:bCs/>
        </w:rPr>
      </w:pPr>
      <w:bookmarkStart w:id="204" w:name="_Toc25420"/>
      <w:bookmarkStart w:id="205" w:name="_Toc31894"/>
      <w:bookmarkStart w:id="206" w:name="_Toc3938"/>
      <w:bookmarkStart w:id="207" w:name="_Toc21172"/>
      <w:bookmarkStart w:id="208" w:name="_Toc2827"/>
      <w:bookmarkStart w:id="209" w:name="_Toc29250"/>
      <w:bookmarkStart w:id="210" w:name="_Toc30238"/>
      <w:bookmarkStart w:id="211" w:name="_Toc19496"/>
      <w:bookmarkStart w:id="212" w:name="_Toc13900"/>
      <w:r>
        <w:rPr>
          <w:rFonts w:hint="eastAsia" w:ascii="Times New Roman" w:hAnsi="Times New Roman"/>
          <w:b/>
          <w:bCs/>
        </w:rPr>
        <w:t>5.1机构</w:t>
      </w:r>
      <w:bookmarkEnd w:id="201"/>
      <w:bookmarkEnd w:id="202"/>
      <w:bookmarkEnd w:id="203"/>
      <w:bookmarkEnd w:id="204"/>
      <w:bookmarkEnd w:id="205"/>
      <w:bookmarkEnd w:id="206"/>
      <w:bookmarkEnd w:id="207"/>
      <w:bookmarkEnd w:id="208"/>
      <w:bookmarkEnd w:id="209"/>
      <w:bookmarkEnd w:id="210"/>
      <w:bookmarkEnd w:id="211"/>
      <w:bookmarkEnd w:id="212"/>
    </w:p>
    <w:p w14:paraId="374CD0D6">
      <w:pPr>
        <w:numPr>
          <w:ilvl w:val="0"/>
          <w:numId w:val="6"/>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应设立安全保卫领导机构，全面负责本单位安全保卫管理，领导机构的职责应包括但不限于以下内容：</w:t>
      </w:r>
    </w:p>
    <w:p w14:paraId="4578907B">
      <w:pPr>
        <w:pStyle w:val="37"/>
        <w:numPr>
          <w:ilvl w:val="0"/>
          <w:numId w:val="7"/>
        </w:numPr>
        <w:spacing w:line="240" w:lineRule="auto"/>
        <w:ind w:left="0" w:leftChars="0" w:firstLine="420" w:firstLineChars="200"/>
      </w:pPr>
      <w:r>
        <w:rPr>
          <w:rFonts w:hint="eastAsia"/>
        </w:rPr>
        <w:t>统筹领导和部署博物馆的安全保卫工作；</w:t>
      </w:r>
    </w:p>
    <w:p w14:paraId="674766E6">
      <w:pPr>
        <w:pStyle w:val="37"/>
        <w:numPr>
          <w:ilvl w:val="0"/>
          <w:numId w:val="7"/>
        </w:numPr>
        <w:spacing w:line="240" w:lineRule="auto"/>
        <w:ind w:left="0" w:leftChars="0" w:firstLine="420" w:firstLineChars="200"/>
      </w:pPr>
      <w:r>
        <w:rPr>
          <w:rFonts w:hint="eastAsia"/>
        </w:rPr>
        <w:t>审定安全保卫工作规划、年度计划和重要管理制度，推动安全保卫管理体系建设；</w:t>
      </w:r>
    </w:p>
    <w:p w14:paraId="64909DD1">
      <w:pPr>
        <w:pStyle w:val="37"/>
        <w:numPr>
          <w:ilvl w:val="0"/>
          <w:numId w:val="7"/>
        </w:numPr>
        <w:spacing w:line="240" w:lineRule="auto"/>
        <w:ind w:left="0" w:leftChars="0" w:firstLine="420" w:firstLineChars="200"/>
      </w:pPr>
      <w:r>
        <w:rPr>
          <w:rFonts w:hint="eastAsia"/>
        </w:rPr>
        <w:t>研究决策安全保卫重大事项，审批重大安全风险管控措施和资源保障方案；</w:t>
      </w:r>
    </w:p>
    <w:p w14:paraId="17A9AC2B">
      <w:pPr>
        <w:pStyle w:val="37"/>
        <w:numPr>
          <w:ilvl w:val="0"/>
          <w:numId w:val="7"/>
        </w:numPr>
        <w:spacing w:line="240" w:lineRule="auto"/>
        <w:ind w:left="0" w:leftChars="0" w:firstLine="420" w:firstLineChars="200"/>
      </w:pPr>
      <w:r>
        <w:rPr>
          <w:rFonts w:hint="eastAsia"/>
        </w:rPr>
        <w:t>提供安全保卫工作所需的人力、财力、物力和技术等资源保障；</w:t>
      </w:r>
    </w:p>
    <w:p w14:paraId="111BC14E">
      <w:pPr>
        <w:pStyle w:val="37"/>
        <w:numPr>
          <w:ilvl w:val="0"/>
          <w:numId w:val="7"/>
        </w:numPr>
        <w:spacing w:line="240" w:lineRule="auto"/>
        <w:ind w:left="0" w:leftChars="0" w:firstLine="420" w:firstLineChars="200"/>
      </w:pPr>
      <w:r>
        <w:rPr>
          <w:rFonts w:hint="eastAsia"/>
        </w:rPr>
        <w:t>建立、实施并监督落实全员安全保卫责任制；</w:t>
      </w:r>
    </w:p>
    <w:p w14:paraId="022A91AA">
      <w:pPr>
        <w:pStyle w:val="37"/>
        <w:numPr>
          <w:ilvl w:val="0"/>
          <w:numId w:val="7"/>
        </w:numPr>
        <w:spacing w:line="240" w:lineRule="auto"/>
        <w:ind w:left="0" w:leftChars="0" w:firstLine="420" w:firstLineChars="200"/>
      </w:pPr>
      <w:r>
        <w:rPr>
          <w:rFonts w:hint="eastAsia"/>
        </w:rPr>
        <w:t>定期听取安全保卫工作汇报，组织评审安全保卫管理体系的有效性，推动持续改进。</w:t>
      </w:r>
    </w:p>
    <w:p w14:paraId="6BE4776B">
      <w:pPr>
        <w:numPr>
          <w:ilvl w:val="0"/>
          <w:numId w:val="6"/>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应设立安全保卫部门或配备安全保卫人员，</w:t>
      </w:r>
      <w:r>
        <w:rPr>
          <w:rFonts w:hint="eastAsia" w:ascii="Times New Roman" w:hAnsi="Times New Roman"/>
        </w:rPr>
        <w:t>并</w:t>
      </w:r>
      <w:r>
        <w:rPr>
          <w:rFonts w:hint="eastAsia" w:ascii="Times New Roman" w:hAnsi="Times New Roman" w:cs="宋体"/>
        </w:rPr>
        <w:t>满足下列要求：</w:t>
      </w:r>
    </w:p>
    <w:p w14:paraId="62A31914">
      <w:pPr>
        <w:pStyle w:val="37"/>
        <w:numPr>
          <w:ilvl w:val="0"/>
          <w:numId w:val="8"/>
        </w:numPr>
        <w:spacing w:line="240" w:lineRule="auto"/>
        <w:ind w:left="0" w:leftChars="0" w:firstLine="420" w:firstLineChars="200"/>
      </w:pPr>
      <w:r>
        <w:rPr>
          <w:rFonts w:hint="eastAsia"/>
        </w:rPr>
        <w:t>被确定为治安保卫重点单位的博物馆，应设立安全保卫部门，并配备专职安全保卫人员。</w:t>
      </w:r>
    </w:p>
    <w:p w14:paraId="2DB32BFB">
      <w:pPr>
        <w:pStyle w:val="37"/>
        <w:numPr>
          <w:ilvl w:val="0"/>
          <w:numId w:val="8"/>
        </w:numPr>
        <w:spacing w:line="240" w:lineRule="auto"/>
        <w:ind w:left="0" w:leftChars="0" w:firstLine="420" w:firstLineChars="200"/>
      </w:pPr>
      <w:r>
        <w:rPr>
          <w:rFonts w:hint="eastAsia"/>
        </w:rPr>
        <w:t>国家一级、二级博物馆应设立安全保卫部门，并配备专职安全保卫人员；</w:t>
      </w:r>
    </w:p>
    <w:p w14:paraId="56EF74E8">
      <w:pPr>
        <w:pStyle w:val="37"/>
        <w:numPr>
          <w:ilvl w:val="0"/>
          <w:numId w:val="8"/>
        </w:numPr>
        <w:spacing w:line="240" w:lineRule="auto"/>
        <w:ind w:left="0" w:leftChars="0" w:firstLine="420" w:firstLineChars="200"/>
      </w:pPr>
      <w:r>
        <w:rPr>
          <w:rFonts w:hint="eastAsia"/>
        </w:rPr>
        <w:t>国家三级博物馆应配备专职安全保卫人员；</w:t>
      </w:r>
    </w:p>
    <w:p w14:paraId="768324D0">
      <w:pPr>
        <w:pStyle w:val="37"/>
        <w:numPr>
          <w:ilvl w:val="0"/>
          <w:numId w:val="8"/>
        </w:numPr>
        <w:spacing w:line="240" w:lineRule="auto"/>
        <w:ind w:left="0" w:leftChars="0" w:firstLine="420" w:firstLineChars="200"/>
      </w:pPr>
      <w:r>
        <w:rPr>
          <w:rFonts w:hint="eastAsia"/>
        </w:rPr>
        <w:t>未定级博物馆应至少配备兼职安全保卫人员。</w:t>
      </w:r>
    </w:p>
    <w:p w14:paraId="0099CB6D">
      <w:pPr>
        <w:numPr>
          <w:ilvl w:val="255"/>
          <w:numId w:val="0"/>
        </w:numPr>
        <w:tabs>
          <w:tab w:val="left" w:pos="720"/>
          <w:tab w:val="left" w:pos="960"/>
          <w:tab w:val="left" w:pos="1200"/>
        </w:tabs>
        <w:spacing w:line="300" w:lineRule="auto"/>
        <w:ind w:left="796" w:leftChars="200" w:hanging="376" w:hangingChars="209"/>
        <w:rPr>
          <w:rFonts w:ascii="Times New Roman" w:hAnsi="Times New Roman" w:cs="宋体"/>
          <w:sz w:val="18"/>
          <w:szCs w:val="18"/>
        </w:rPr>
      </w:pPr>
      <w:r>
        <w:rPr>
          <w:rFonts w:hint="eastAsia" w:ascii="Times New Roman" w:hAnsi="Times New Roman" w:eastAsia="黑体" w:cs="黑体"/>
          <w:sz w:val="18"/>
          <w:szCs w:val="18"/>
        </w:rPr>
        <w:t>注1：</w:t>
      </w:r>
      <w:r>
        <w:rPr>
          <w:rFonts w:hint="eastAsia" w:ascii="Times New Roman" w:hAnsi="Times New Roman" w:cs="宋体"/>
          <w:sz w:val="18"/>
          <w:szCs w:val="18"/>
        </w:rPr>
        <w:t>治安保卫重点单位，是指根据《企业事业单位内部治安保卫条例》，由县级以上地方各级人民政府公安机关提出、报本级人民政府确定的、关系全国或者地区国计民生、国家安全和公共安全的单位。</w:t>
      </w:r>
    </w:p>
    <w:p w14:paraId="29B04242">
      <w:pPr>
        <w:numPr>
          <w:ilvl w:val="255"/>
          <w:numId w:val="0"/>
        </w:numPr>
        <w:tabs>
          <w:tab w:val="left" w:pos="720"/>
          <w:tab w:val="left" w:pos="960"/>
          <w:tab w:val="left" w:pos="1200"/>
        </w:tabs>
        <w:spacing w:line="300" w:lineRule="auto"/>
        <w:ind w:left="796" w:leftChars="200" w:hanging="376" w:hangingChars="209"/>
        <w:rPr>
          <w:rFonts w:ascii="Times New Roman" w:hAnsi="Times New Roman" w:eastAsia="黑体" w:cs="黑体"/>
          <w:sz w:val="18"/>
          <w:szCs w:val="18"/>
        </w:rPr>
      </w:pPr>
      <w:r>
        <w:rPr>
          <w:rFonts w:hint="eastAsia" w:ascii="Times New Roman" w:hAnsi="Times New Roman" w:eastAsia="黑体" w:cs="黑体"/>
          <w:sz w:val="18"/>
          <w:szCs w:val="18"/>
        </w:rPr>
        <w:t>注2：</w:t>
      </w:r>
      <w:r>
        <w:rPr>
          <w:rFonts w:hint="eastAsia" w:ascii="Times New Roman" w:hAnsi="Times New Roman" w:cs="宋体"/>
          <w:sz w:val="18"/>
          <w:szCs w:val="18"/>
        </w:rPr>
        <w:t>国家一级、二级、三级博物馆，指根据《博物馆定级评估办法》，经定级评估确定为</w:t>
      </w:r>
      <w:r>
        <w:rPr>
          <w:rFonts w:hint="eastAsia" w:ascii="Times New Roman" w:hAnsi="Times New Roman" w:cs="宋体"/>
          <w:sz w:val="18"/>
          <w:szCs w:val="18"/>
          <w:lang w:val="zh-CN"/>
        </w:rPr>
        <w:t>相应等级</w:t>
      </w:r>
      <w:r>
        <w:rPr>
          <w:rFonts w:hint="eastAsia" w:ascii="Times New Roman" w:hAnsi="Times New Roman" w:cs="宋体"/>
          <w:sz w:val="18"/>
          <w:szCs w:val="18"/>
        </w:rPr>
        <w:t>的博物馆。</w:t>
      </w:r>
    </w:p>
    <w:p w14:paraId="269C9D46">
      <w:pPr>
        <w:numPr>
          <w:ilvl w:val="0"/>
          <w:numId w:val="6"/>
        </w:numPr>
        <w:tabs>
          <w:tab w:val="left" w:pos="312"/>
          <w:tab w:val="left" w:pos="720"/>
          <w:tab w:val="left" w:pos="960"/>
          <w:tab w:val="left" w:pos="1200"/>
          <w:tab w:val="clear" w:pos="0"/>
        </w:tabs>
        <w:adjustRightInd/>
        <w:spacing w:line="300" w:lineRule="auto"/>
        <w:rPr>
          <w:rFonts w:ascii="Times New Roman" w:hAnsi="Times New Roman" w:cs="宋体"/>
        </w:rPr>
      </w:pPr>
      <w:bookmarkStart w:id="213" w:name="_Toc1294"/>
      <w:r>
        <w:rPr>
          <w:rFonts w:hint="eastAsia" w:ascii="Times New Roman" w:hAnsi="Times New Roman" w:cs="宋体"/>
        </w:rPr>
        <w:t>安全保卫部门职责应包括但不限于以下内容：</w:t>
      </w:r>
    </w:p>
    <w:p w14:paraId="1DB0F587">
      <w:pPr>
        <w:pStyle w:val="37"/>
        <w:numPr>
          <w:ilvl w:val="0"/>
          <w:numId w:val="9"/>
        </w:numPr>
        <w:spacing w:line="240" w:lineRule="auto"/>
        <w:ind w:left="0" w:leftChars="0" w:firstLine="420" w:firstLineChars="200"/>
        <w:rPr>
          <w:lang w:val="en-GB"/>
        </w:rPr>
      </w:pPr>
      <w:r>
        <w:rPr>
          <w:rFonts w:hint="eastAsia"/>
          <w:lang w:val="en-GB"/>
        </w:rPr>
        <w:t>组织制定、实施并持续改进博物馆安全保卫工作规划、年度计划及各项管理制度；</w:t>
      </w:r>
    </w:p>
    <w:p w14:paraId="3B12151F">
      <w:pPr>
        <w:pStyle w:val="37"/>
        <w:numPr>
          <w:ilvl w:val="0"/>
          <w:numId w:val="9"/>
        </w:numPr>
        <w:spacing w:line="240" w:lineRule="auto"/>
        <w:ind w:left="0" w:leftChars="0" w:firstLine="420" w:firstLineChars="200"/>
        <w:rPr>
          <w:lang w:val="en-GB"/>
        </w:rPr>
      </w:pPr>
      <w:r>
        <w:rPr>
          <w:rFonts w:hint="eastAsia"/>
          <w:lang w:val="en-GB"/>
        </w:rPr>
        <w:t>组织开展全馆范围的安全检查、风险评估与防控，并监督指导风险防控与隐患排查治理工作的落实；</w:t>
      </w:r>
    </w:p>
    <w:p w14:paraId="64AC5AC7">
      <w:pPr>
        <w:pStyle w:val="37"/>
        <w:numPr>
          <w:ilvl w:val="0"/>
          <w:numId w:val="9"/>
        </w:numPr>
        <w:spacing w:line="240" w:lineRule="auto"/>
        <w:ind w:left="0" w:leftChars="0" w:firstLine="420" w:firstLineChars="200"/>
        <w:rPr>
          <w:lang w:val="en-GB"/>
        </w:rPr>
      </w:pPr>
      <w:r>
        <w:rPr>
          <w:rFonts w:hint="eastAsia"/>
          <w:lang w:val="en-GB"/>
        </w:rPr>
        <w:t>组织实施人防、物防、技防等安全防范措施，确保人员、文物、财产、设施设备及公共秩序安全；</w:t>
      </w:r>
    </w:p>
    <w:p w14:paraId="6F3BBF33">
      <w:pPr>
        <w:pStyle w:val="37"/>
        <w:numPr>
          <w:ilvl w:val="0"/>
          <w:numId w:val="9"/>
        </w:numPr>
        <w:spacing w:line="240" w:lineRule="auto"/>
        <w:ind w:left="0" w:leftChars="0" w:firstLine="420" w:firstLineChars="200"/>
        <w:rPr>
          <w:lang w:val="en-GB"/>
        </w:rPr>
      </w:pPr>
      <w:r>
        <w:rPr>
          <w:rFonts w:hint="eastAsia"/>
          <w:lang w:val="en-GB"/>
        </w:rPr>
        <w:t>参与文物转运、布撤展、施工建设等业务工作的安全保卫方案设计与验收；</w:t>
      </w:r>
    </w:p>
    <w:p w14:paraId="38F3F7CF">
      <w:pPr>
        <w:pStyle w:val="37"/>
        <w:numPr>
          <w:ilvl w:val="0"/>
          <w:numId w:val="9"/>
        </w:numPr>
        <w:spacing w:line="240" w:lineRule="auto"/>
        <w:ind w:left="0" w:leftChars="0" w:firstLine="420" w:firstLineChars="200"/>
        <w:rPr>
          <w:lang w:val="en-GB"/>
        </w:rPr>
      </w:pPr>
      <w:r>
        <w:rPr>
          <w:rFonts w:hint="eastAsia"/>
          <w:lang w:val="en-GB"/>
        </w:rPr>
        <w:t>负责安全防范系统的日常运行、维护保养与管理；</w:t>
      </w:r>
    </w:p>
    <w:p w14:paraId="725121D6">
      <w:pPr>
        <w:pStyle w:val="37"/>
        <w:numPr>
          <w:ilvl w:val="0"/>
          <w:numId w:val="9"/>
        </w:numPr>
        <w:spacing w:line="240" w:lineRule="auto"/>
        <w:ind w:left="0" w:leftChars="0" w:firstLine="420" w:firstLineChars="200"/>
        <w:rPr>
          <w:lang w:val="en-GB"/>
        </w:rPr>
      </w:pPr>
      <w:r>
        <w:rPr>
          <w:rFonts w:hint="eastAsia"/>
          <w:lang w:val="en-GB"/>
        </w:rPr>
        <w:t>负责保安服务合同的履约监督，以及对保安员的日常管理、监督与考核；</w:t>
      </w:r>
    </w:p>
    <w:p w14:paraId="0BF42B25">
      <w:pPr>
        <w:pStyle w:val="37"/>
        <w:numPr>
          <w:ilvl w:val="0"/>
          <w:numId w:val="9"/>
        </w:numPr>
        <w:spacing w:line="240" w:lineRule="auto"/>
        <w:ind w:left="0" w:leftChars="0" w:firstLine="420" w:firstLineChars="200"/>
        <w:rPr>
          <w:lang w:val="en-GB"/>
        </w:rPr>
      </w:pPr>
      <w:r>
        <w:rPr>
          <w:rFonts w:hint="eastAsia"/>
          <w:lang w:val="en-GB"/>
        </w:rPr>
        <w:t>组织制定、修订</w:t>
      </w:r>
      <w:r>
        <w:rPr>
          <w:rFonts w:hint="eastAsia"/>
        </w:rPr>
        <w:t>安全保卫类</w:t>
      </w:r>
      <w:r>
        <w:rPr>
          <w:rFonts w:hint="eastAsia"/>
          <w:lang w:val="en-GB"/>
        </w:rPr>
        <w:t>应急预案，管理应急物资，组织实施应急演练；</w:t>
      </w:r>
    </w:p>
    <w:p w14:paraId="287046A0">
      <w:pPr>
        <w:pStyle w:val="37"/>
        <w:numPr>
          <w:ilvl w:val="0"/>
          <w:numId w:val="9"/>
        </w:numPr>
        <w:spacing w:line="240" w:lineRule="auto"/>
        <w:ind w:left="0" w:leftChars="0" w:firstLine="420" w:firstLineChars="200"/>
        <w:rPr>
          <w:lang w:val="en-GB"/>
        </w:rPr>
      </w:pPr>
      <w:r>
        <w:rPr>
          <w:rFonts w:hint="eastAsia"/>
        </w:rPr>
        <w:t>制止和纠正扰乱博物馆治安秩序、破坏文物、盗窃文物等行为；</w:t>
      </w:r>
    </w:p>
    <w:p w14:paraId="0E7C0F10">
      <w:pPr>
        <w:pStyle w:val="37"/>
        <w:numPr>
          <w:ilvl w:val="0"/>
          <w:numId w:val="9"/>
        </w:numPr>
        <w:spacing w:line="240" w:lineRule="auto"/>
        <w:ind w:left="0" w:leftChars="0" w:firstLine="420" w:firstLineChars="200"/>
        <w:rPr>
          <w:lang w:val="en-GB"/>
        </w:rPr>
      </w:pPr>
      <w:r>
        <w:rPr>
          <w:rFonts w:hint="eastAsia"/>
          <w:lang w:val="en-GB"/>
        </w:rPr>
        <w:t>负责</w:t>
      </w:r>
      <w:r>
        <w:rPr>
          <w:rFonts w:hint="eastAsia"/>
        </w:rPr>
        <w:t>安全保卫类</w:t>
      </w:r>
      <w:r>
        <w:rPr>
          <w:rFonts w:hint="eastAsia"/>
          <w:lang w:val="en-GB"/>
        </w:rPr>
        <w:t>突发事件的先期处置、信息报告与协调联动；</w:t>
      </w:r>
    </w:p>
    <w:p w14:paraId="5447F397">
      <w:pPr>
        <w:pStyle w:val="37"/>
        <w:numPr>
          <w:ilvl w:val="0"/>
          <w:numId w:val="9"/>
        </w:numPr>
        <w:spacing w:line="240" w:lineRule="auto"/>
        <w:ind w:left="0" w:leftChars="0" w:firstLine="420" w:firstLineChars="200"/>
        <w:rPr>
          <w:lang w:val="en-GB"/>
        </w:rPr>
      </w:pPr>
      <w:r>
        <w:rPr>
          <w:rFonts w:hint="eastAsia"/>
          <w:lang w:val="en-GB"/>
        </w:rPr>
        <w:t>组织开展面向全体员工和相关方的安全保卫知识、技能的宣传、教育和培训。</w:t>
      </w:r>
    </w:p>
    <w:p w14:paraId="7B378389">
      <w:pPr>
        <w:pStyle w:val="37"/>
        <w:numPr>
          <w:ilvl w:val="0"/>
          <w:numId w:val="9"/>
        </w:numPr>
        <w:spacing w:line="240" w:lineRule="auto"/>
        <w:ind w:left="0" w:leftChars="0" w:firstLine="420" w:firstLineChars="200"/>
        <w:rPr>
          <w:lang w:val="en-GB"/>
        </w:rPr>
      </w:pPr>
      <w:r>
        <w:rPr>
          <w:rFonts w:hint="eastAsia"/>
          <w:lang w:val="en-GB"/>
        </w:rPr>
        <w:t>协调内外部安全保卫相关事宜；</w:t>
      </w:r>
    </w:p>
    <w:p w14:paraId="5C35D760">
      <w:pPr>
        <w:pStyle w:val="37"/>
        <w:numPr>
          <w:ilvl w:val="0"/>
          <w:numId w:val="9"/>
        </w:numPr>
        <w:spacing w:line="240" w:lineRule="auto"/>
        <w:ind w:left="0" w:leftChars="0" w:firstLine="420" w:firstLineChars="200"/>
        <w:rPr>
          <w:lang w:val="en-GB"/>
        </w:rPr>
      </w:pPr>
      <w:r>
        <w:rPr>
          <w:rFonts w:hint="eastAsia"/>
          <w:lang w:val="en-GB"/>
        </w:rPr>
        <w:t>负责安全保卫工作的记录、档案管理与分析改进。</w:t>
      </w:r>
    </w:p>
    <w:p w14:paraId="33B5BAF1">
      <w:pPr>
        <w:numPr>
          <w:ilvl w:val="0"/>
          <w:numId w:val="6"/>
        </w:numPr>
        <w:tabs>
          <w:tab w:val="left" w:pos="312"/>
          <w:tab w:val="left" w:pos="720"/>
          <w:tab w:val="left" w:pos="960"/>
          <w:tab w:val="left" w:pos="1200"/>
          <w:tab w:val="clear" w:pos="0"/>
        </w:tabs>
        <w:adjustRightInd/>
        <w:spacing w:line="300" w:lineRule="auto"/>
        <w:rPr>
          <w:rFonts w:ascii="Times New Roman" w:hAnsi="Times New Roman" w:cs="宋体"/>
          <w:lang w:val="en-GB"/>
        </w:rPr>
      </w:pPr>
      <w:r>
        <w:rPr>
          <w:rFonts w:hint="eastAsia" w:ascii="Times New Roman" w:hAnsi="Times New Roman" w:cs="宋体"/>
        </w:rPr>
        <w:t>应将安全保卫部门的设置和人员的配备情况报主管公安机关备案。</w:t>
      </w:r>
    </w:p>
    <w:p w14:paraId="7F97449D">
      <w:pPr>
        <w:spacing w:line="300" w:lineRule="auto"/>
        <w:outlineLvl w:val="1"/>
        <w:rPr>
          <w:rFonts w:ascii="Times New Roman" w:hAnsi="Times New Roman"/>
          <w:b/>
          <w:bCs/>
        </w:rPr>
      </w:pPr>
      <w:bookmarkStart w:id="214" w:name="_Toc19229"/>
      <w:bookmarkStart w:id="215" w:name="_Toc15686"/>
      <w:bookmarkStart w:id="216" w:name="_Toc29503"/>
      <w:bookmarkStart w:id="217" w:name="_Toc27123"/>
      <w:bookmarkStart w:id="218" w:name="_Toc12866"/>
      <w:bookmarkStart w:id="219" w:name="_Toc6074"/>
      <w:bookmarkStart w:id="220" w:name="_Toc14977"/>
      <w:bookmarkStart w:id="221" w:name="_Toc29484"/>
      <w:r>
        <w:rPr>
          <w:rFonts w:hint="eastAsia" w:ascii="Times New Roman" w:hAnsi="Times New Roman"/>
          <w:b/>
          <w:bCs/>
        </w:rPr>
        <w:t>5.2岗位和人员</w:t>
      </w:r>
      <w:bookmarkEnd w:id="213"/>
      <w:bookmarkEnd w:id="214"/>
      <w:bookmarkEnd w:id="215"/>
      <w:bookmarkEnd w:id="216"/>
      <w:bookmarkEnd w:id="217"/>
      <w:bookmarkEnd w:id="218"/>
      <w:bookmarkEnd w:id="219"/>
      <w:bookmarkEnd w:id="220"/>
      <w:bookmarkEnd w:id="221"/>
    </w:p>
    <w:p w14:paraId="4803C130">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宜根据以下要素，确定安全保卫人员的岗位和数量，满足重点部位的</w:t>
      </w:r>
      <w:r>
        <w:rPr>
          <w:rFonts w:hint="eastAsia" w:ascii="Times New Roman" w:hAnsi="Times New Roman" w:cs="宋体"/>
          <w:lang w:val="en-US" w:eastAsia="zh-CN"/>
        </w:rPr>
        <w:t>出警</w:t>
      </w:r>
      <w:r>
        <w:rPr>
          <w:rFonts w:hint="eastAsia" w:ascii="Times New Roman" w:hAnsi="Times New Roman" w:cs="宋体"/>
        </w:rPr>
        <w:t>响应时间不大于</w:t>
      </w:r>
      <w:r>
        <w:rPr>
          <w:rFonts w:ascii="Times New Roman" w:hAnsi="Times New Roman"/>
        </w:rPr>
        <w:t>3</w:t>
      </w:r>
      <w:r>
        <w:rPr>
          <w:rFonts w:hint="eastAsia" w:ascii="Times New Roman" w:hAnsi="Times New Roman"/>
        </w:rPr>
        <w:t>分钟</w:t>
      </w:r>
      <w:r>
        <w:rPr>
          <w:rFonts w:hint="eastAsia" w:ascii="Times New Roman" w:hAnsi="Times New Roman" w:cs="宋体"/>
        </w:rPr>
        <w:t>的要求：</w:t>
      </w:r>
    </w:p>
    <w:p w14:paraId="42FDCBF6">
      <w:pPr>
        <w:pStyle w:val="37"/>
        <w:numPr>
          <w:ilvl w:val="0"/>
          <w:numId w:val="11"/>
        </w:numPr>
        <w:spacing w:line="240" w:lineRule="auto"/>
        <w:ind w:left="420" w:firstLine="0"/>
        <w:rPr>
          <w:rFonts w:cs="宋体"/>
        </w:rPr>
      </w:pPr>
      <w:r>
        <w:rPr>
          <w:rFonts w:hint="eastAsia"/>
        </w:rPr>
        <w:t>当地治安形势；</w:t>
      </w:r>
    </w:p>
    <w:p w14:paraId="493953AB">
      <w:pPr>
        <w:pStyle w:val="37"/>
        <w:numPr>
          <w:ilvl w:val="0"/>
          <w:numId w:val="11"/>
        </w:numPr>
        <w:spacing w:line="240" w:lineRule="auto"/>
        <w:ind w:left="420" w:firstLine="0"/>
      </w:pPr>
      <w:r>
        <w:rPr>
          <w:rFonts w:hint="eastAsia"/>
        </w:rPr>
        <w:t>占地面积、建筑面积、功能分区、展厅面积等；</w:t>
      </w:r>
    </w:p>
    <w:p w14:paraId="6725992F">
      <w:pPr>
        <w:pStyle w:val="37"/>
        <w:numPr>
          <w:ilvl w:val="0"/>
          <w:numId w:val="11"/>
        </w:numPr>
        <w:spacing w:line="240" w:lineRule="auto"/>
        <w:ind w:left="420" w:firstLine="0"/>
      </w:pPr>
      <w:r>
        <w:rPr>
          <w:rFonts w:hint="eastAsia"/>
        </w:rPr>
        <w:t>文物数量及级别；</w:t>
      </w:r>
    </w:p>
    <w:p w14:paraId="70941B7B">
      <w:pPr>
        <w:pStyle w:val="37"/>
        <w:numPr>
          <w:ilvl w:val="0"/>
          <w:numId w:val="11"/>
        </w:numPr>
        <w:spacing w:line="240" w:lineRule="auto"/>
        <w:ind w:left="420" w:firstLine="0"/>
      </w:pPr>
      <w:r>
        <w:rPr>
          <w:rFonts w:hint="eastAsia"/>
        </w:rPr>
        <w:t>观众数量；</w:t>
      </w:r>
    </w:p>
    <w:p w14:paraId="426F9A39">
      <w:pPr>
        <w:pStyle w:val="37"/>
        <w:numPr>
          <w:ilvl w:val="0"/>
          <w:numId w:val="11"/>
        </w:numPr>
        <w:spacing w:line="240" w:lineRule="auto"/>
        <w:ind w:left="420" w:firstLine="0"/>
      </w:pPr>
      <w:r>
        <w:rPr>
          <w:rFonts w:hint="eastAsia"/>
        </w:rPr>
        <w:t>社会关注度；</w:t>
      </w:r>
    </w:p>
    <w:p w14:paraId="62E99884">
      <w:pPr>
        <w:pStyle w:val="37"/>
        <w:numPr>
          <w:ilvl w:val="0"/>
          <w:numId w:val="11"/>
        </w:numPr>
        <w:spacing w:line="240" w:lineRule="auto"/>
        <w:ind w:left="420" w:firstLine="0"/>
        <w:rPr>
          <w:rFonts w:cs="宋体"/>
        </w:rPr>
      </w:pPr>
      <w:r>
        <w:rPr>
          <w:rFonts w:hint="eastAsia"/>
        </w:rPr>
        <w:t>物理防范和电子防范系统配置情况。</w:t>
      </w:r>
    </w:p>
    <w:p w14:paraId="5526BCE6">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宜在以下部位设置固定岗位或定期巡视：</w:t>
      </w:r>
    </w:p>
    <w:p w14:paraId="04C7E58B">
      <w:pPr>
        <w:pStyle w:val="37"/>
        <w:numPr>
          <w:ilvl w:val="0"/>
          <w:numId w:val="12"/>
        </w:numPr>
        <w:spacing w:line="240" w:lineRule="auto"/>
        <w:ind w:left="0" w:leftChars="0" w:firstLine="420" w:firstLineChars="200"/>
        <w:rPr>
          <w:lang w:val="en-GB"/>
        </w:rPr>
      </w:pPr>
      <w:r>
        <w:rPr>
          <w:rFonts w:hint="eastAsia"/>
          <w:lang w:val="en-GB"/>
        </w:rPr>
        <w:t>建筑主体出入口；</w:t>
      </w:r>
    </w:p>
    <w:p w14:paraId="1D814BFD">
      <w:pPr>
        <w:pStyle w:val="37"/>
        <w:numPr>
          <w:ilvl w:val="0"/>
          <w:numId w:val="12"/>
        </w:numPr>
        <w:spacing w:line="240" w:lineRule="auto"/>
        <w:ind w:left="0" w:leftChars="0" w:firstLine="420" w:firstLineChars="200"/>
        <w:rPr>
          <w:lang w:val="en-GB"/>
        </w:rPr>
      </w:pPr>
      <w:r>
        <w:rPr>
          <w:rFonts w:hint="eastAsia"/>
          <w:lang w:val="en-GB"/>
        </w:rPr>
        <w:t>文物库房、展厅、修复室等文物集中存放或操作的场所；</w:t>
      </w:r>
    </w:p>
    <w:p w14:paraId="7B7327F1">
      <w:pPr>
        <w:pStyle w:val="37"/>
        <w:numPr>
          <w:ilvl w:val="0"/>
          <w:numId w:val="12"/>
        </w:numPr>
        <w:spacing w:line="240" w:lineRule="auto"/>
        <w:ind w:left="0" w:leftChars="0" w:firstLine="420" w:firstLineChars="200"/>
        <w:rPr>
          <w:lang w:val="en-GB"/>
        </w:rPr>
      </w:pPr>
      <w:r>
        <w:rPr>
          <w:rFonts w:hint="eastAsia"/>
          <w:lang w:val="en-GB"/>
        </w:rPr>
        <w:t>有裸展文物区域；</w:t>
      </w:r>
    </w:p>
    <w:p w14:paraId="71133C7C">
      <w:pPr>
        <w:pStyle w:val="37"/>
        <w:numPr>
          <w:ilvl w:val="0"/>
          <w:numId w:val="12"/>
        </w:numPr>
        <w:spacing w:line="240" w:lineRule="auto"/>
        <w:ind w:left="0" w:leftChars="0" w:firstLine="420" w:firstLineChars="200"/>
        <w:rPr>
          <w:lang w:val="en-GB"/>
        </w:rPr>
      </w:pPr>
      <w:r>
        <w:rPr>
          <w:rFonts w:hint="eastAsia"/>
          <w:lang w:val="en-GB"/>
        </w:rPr>
        <w:t>无物理防范和出入口控制系统的开放和非开放区域交界处；</w:t>
      </w:r>
    </w:p>
    <w:p w14:paraId="3420B8B8">
      <w:pPr>
        <w:pStyle w:val="37"/>
        <w:numPr>
          <w:ilvl w:val="0"/>
          <w:numId w:val="12"/>
        </w:numPr>
        <w:spacing w:line="240" w:lineRule="auto"/>
        <w:ind w:left="0" w:leftChars="0" w:firstLine="420" w:firstLineChars="200"/>
        <w:rPr>
          <w:lang w:val="en-GB"/>
        </w:rPr>
      </w:pPr>
      <w:r>
        <w:rPr>
          <w:rFonts w:hint="eastAsia"/>
          <w:lang w:val="en-GB"/>
        </w:rPr>
        <w:t>公众服务区；</w:t>
      </w:r>
    </w:p>
    <w:p w14:paraId="385F9376">
      <w:pPr>
        <w:pStyle w:val="37"/>
        <w:numPr>
          <w:ilvl w:val="0"/>
          <w:numId w:val="12"/>
        </w:numPr>
        <w:spacing w:line="240" w:lineRule="auto"/>
        <w:ind w:left="0" w:leftChars="0" w:firstLine="420" w:firstLineChars="200"/>
        <w:rPr>
          <w:lang w:val="en-GB"/>
        </w:rPr>
      </w:pPr>
      <w:r>
        <w:rPr>
          <w:rFonts w:hint="eastAsia"/>
        </w:rPr>
        <w:t>其他重点部位。</w:t>
      </w:r>
    </w:p>
    <w:p w14:paraId="53A27D21">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应确定不同岗位安全保卫人员岗位职责、任职条件和知识技能要求，并通过采取晋升、奖励等措施维护人员稳定性。</w:t>
      </w:r>
    </w:p>
    <w:p w14:paraId="754FAE15">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博物馆对安全保卫工作人员应坚持“先审查、后录用”的原则，并登记备案。</w:t>
      </w:r>
    </w:p>
    <w:p w14:paraId="60C646BE">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应对聘用的保安员进行背景审查、建立人员档案，并向公安机关备案。保安员基本条件、行为规范应符合</w:t>
      </w:r>
      <w:r>
        <w:rPr>
          <w:rFonts w:ascii="Times New Roman" w:hAnsi="Times New Roman"/>
        </w:rPr>
        <w:t>GA/T 594</w:t>
      </w:r>
      <w:r>
        <w:rPr>
          <w:rFonts w:hint="eastAsia" w:ascii="Times New Roman" w:hAnsi="Times New Roman" w:cs="宋体"/>
        </w:rPr>
        <w:t>的规定。</w:t>
      </w:r>
    </w:p>
    <w:p w14:paraId="4CF5EDB5">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宜参照</w:t>
      </w:r>
      <w:r>
        <w:rPr>
          <w:rFonts w:ascii="Times New Roman" w:hAnsi="Times New Roman"/>
        </w:rPr>
        <w:t>GA/T 1279</w:t>
      </w:r>
      <w:r>
        <w:rPr>
          <w:rFonts w:hint="eastAsia" w:ascii="Times New Roman" w:hAnsi="Times New Roman" w:cs="宋体"/>
        </w:rPr>
        <w:t>为安全保卫人员配备装备。</w:t>
      </w:r>
    </w:p>
    <w:p w14:paraId="58DF7DE6">
      <w:pPr>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安全保卫人员应经培训并考核合格后上岗，每年至少参加一次复训。培训内容应包括但不限于：</w:t>
      </w:r>
    </w:p>
    <w:p w14:paraId="1AE39325">
      <w:pPr>
        <w:pStyle w:val="37"/>
        <w:numPr>
          <w:ilvl w:val="0"/>
          <w:numId w:val="13"/>
        </w:numPr>
        <w:spacing w:line="240" w:lineRule="auto"/>
        <w:ind w:left="0" w:leftChars="0" w:firstLine="420" w:firstLineChars="200"/>
        <w:rPr>
          <w:lang w:val="en-GB"/>
        </w:rPr>
      </w:pPr>
      <w:r>
        <w:rPr>
          <w:rFonts w:hint="eastAsia"/>
        </w:rPr>
        <w:t>意识形态和心理健康培训；</w:t>
      </w:r>
    </w:p>
    <w:p w14:paraId="38DCECE3">
      <w:pPr>
        <w:pStyle w:val="37"/>
        <w:numPr>
          <w:ilvl w:val="0"/>
          <w:numId w:val="13"/>
        </w:numPr>
        <w:spacing w:line="240" w:lineRule="auto"/>
        <w:ind w:left="0" w:leftChars="0" w:firstLine="420" w:firstLineChars="200"/>
        <w:rPr>
          <w:lang w:val="en-GB"/>
        </w:rPr>
      </w:pPr>
      <w:r>
        <w:rPr>
          <w:rFonts w:hint="eastAsia"/>
          <w:lang w:val="en-GB"/>
        </w:rPr>
        <w:t>安全保卫</w:t>
      </w:r>
      <w:r>
        <w:rPr>
          <w:rFonts w:hint="eastAsia"/>
        </w:rPr>
        <w:t>法律法规、</w:t>
      </w:r>
      <w:r>
        <w:rPr>
          <w:rFonts w:hint="eastAsia"/>
          <w:lang w:val="en-GB"/>
        </w:rPr>
        <w:t>基础知识</w:t>
      </w:r>
      <w:r>
        <w:rPr>
          <w:rFonts w:hint="eastAsia"/>
        </w:rPr>
        <w:t>及管理制度</w:t>
      </w:r>
      <w:r>
        <w:rPr>
          <w:rFonts w:hint="eastAsia"/>
          <w:lang w:val="en-GB"/>
        </w:rPr>
        <w:t>培训；</w:t>
      </w:r>
    </w:p>
    <w:p w14:paraId="7C905F2D">
      <w:pPr>
        <w:pStyle w:val="37"/>
        <w:numPr>
          <w:ilvl w:val="0"/>
          <w:numId w:val="13"/>
        </w:numPr>
        <w:spacing w:line="240" w:lineRule="auto"/>
        <w:ind w:left="0" w:leftChars="0" w:firstLine="420" w:firstLineChars="200"/>
        <w:rPr>
          <w:lang w:val="en-GB"/>
        </w:rPr>
      </w:pPr>
      <w:r>
        <w:rPr>
          <w:rFonts w:hint="eastAsia"/>
          <w:lang w:val="en-GB"/>
        </w:rPr>
        <w:t>文物保护基础知识培训；</w:t>
      </w:r>
    </w:p>
    <w:p w14:paraId="5C6E1EC3">
      <w:pPr>
        <w:pStyle w:val="37"/>
        <w:numPr>
          <w:ilvl w:val="0"/>
          <w:numId w:val="13"/>
        </w:numPr>
        <w:spacing w:line="240" w:lineRule="auto"/>
        <w:ind w:left="0" w:leftChars="0" w:firstLine="420" w:firstLineChars="200"/>
        <w:rPr>
          <w:lang w:val="en-GB"/>
        </w:rPr>
      </w:pPr>
      <w:r>
        <w:rPr>
          <w:rFonts w:hint="eastAsia"/>
          <w:lang w:val="en-GB"/>
        </w:rPr>
        <w:t>岗位工作职责培训；</w:t>
      </w:r>
    </w:p>
    <w:p w14:paraId="0311522E">
      <w:pPr>
        <w:pStyle w:val="37"/>
        <w:numPr>
          <w:ilvl w:val="0"/>
          <w:numId w:val="13"/>
        </w:numPr>
        <w:spacing w:line="240" w:lineRule="auto"/>
        <w:ind w:left="0" w:leftChars="0" w:firstLine="420" w:firstLineChars="200"/>
        <w:rPr>
          <w:lang w:val="en-GB"/>
        </w:rPr>
      </w:pPr>
      <w:r>
        <w:rPr>
          <w:rFonts w:hint="eastAsia"/>
          <w:lang w:val="en-GB"/>
        </w:rPr>
        <w:t>岗位</w:t>
      </w:r>
      <w:r>
        <w:rPr>
          <w:rFonts w:hint="eastAsia"/>
        </w:rPr>
        <w:t>作业规程</w:t>
      </w:r>
      <w:r>
        <w:rPr>
          <w:rFonts w:hint="eastAsia"/>
          <w:lang w:val="en-GB"/>
        </w:rPr>
        <w:t>培训；</w:t>
      </w:r>
    </w:p>
    <w:p w14:paraId="28974278">
      <w:pPr>
        <w:pStyle w:val="37"/>
        <w:numPr>
          <w:ilvl w:val="0"/>
          <w:numId w:val="13"/>
        </w:numPr>
        <w:spacing w:line="240" w:lineRule="auto"/>
        <w:ind w:left="0" w:leftChars="0" w:firstLine="420" w:firstLineChars="200"/>
        <w:rPr>
          <w:lang w:val="en-GB"/>
        </w:rPr>
      </w:pPr>
      <w:r>
        <w:rPr>
          <w:rFonts w:hint="eastAsia"/>
          <w:lang w:val="en-GB"/>
        </w:rPr>
        <w:t>应急处置流程</w:t>
      </w:r>
      <w:r>
        <w:rPr>
          <w:rFonts w:hint="eastAsia"/>
        </w:rPr>
        <w:t>和</w:t>
      </w:r>
      <w:r>
        <w:rPr>
          <w:rFonts w:hint="eastAsia"/>
          <w:lang w:val="en-GB"/>
        </w:rPr>
        <w:t>自救互救知识培训。</w:t>
      </w:r>
    </w:p>
    <w:p w14:paraId="747DEAE2">
      <w:pPr>
        <w:widowControl/>
        <w:numPr>
          <w:ilvl w:val="0"/>
          <w:numId w:val="10"/>
        </w:numPr>
        <w:tabs>
          <w:tab w:val="left" w:pos="312"/>
          <w:tab w:val="left" w:pos="720"/>
          <w:tab w:val="left" w:pos="960"/>
          <w:tab w:val="left" w:pos="1200"/>
          <w:tab w:val="clear" w:pos="0"/>
        </w:tabs>
        <w:adjustRightInd/>
        <w:spacing w:line="300" w:lineRule="auto"/>
        <w:rPr>
          <w:rFonts w:ascii="Times New Roman" w:hAnsi="Times New Roman" w:cs="宋体"/>
        </w:rPr>
      </w:pPr>
      <w:r>
        <w:rPr>
          <w:rFonts w:hint="eastAsia" w:ascii="Times New Roman" w:hAnsi="Times New Roman" w:cs="宋体"/>
        </w:rPr>
        <w:t>宜定期对安全保卫人员进行岗位能力评估，不能通过能力评估者应再次评估或进行岗位调整。</w:t>
      </w:r>
    </w:p>
    <w:p w14:paraId="266BCBCE">
      <w:pPr>
        <w:pStyle w:val="33"/>
        <w:spacing w:before="240" w:after="240"/>
        <w:rPr>
          <w:rFonts w:ascii="Times New Roman"/>
          <w:szCs w:val="21"/>
        </w:rPr>
      </w:pPr>
      <w:bookmarkStart w:id="222" w:name="_Toc27789"/>
      <w:bookmarkStart w:id="223" w:name="_Toc6396"/>
      <w:bookmarkStart w:id="224" w:name="_Toc20950"/>
      <w:bookmarkStart w:id="225" w:name="_Toc25059"/>
      <w:bookmarkStart w:id="226" w:name="_Toc18425"/>
      <w:bookmarkStart w:id="227" w:name="_Toc6647"/>
      <w:bookmarkStart w:id="228" w:name="_Toc14057"/>
      <w:bookmarkStart w:id="229" w:name="_Toc18787"/>
      <w:bookmarkStart w:id="230" w:name="_Toc646"/>
      <w:bookmarkStart w:id="231" w:name="_Toc22693"/>
      <w:bookmarkStart w:id="232" w:name="_Toc4243"/>
      <w:bookmarkStart w:id="233" w:name="_Toc18825"/>
      <w:r>
        <w:rPr>
          <w:rFonts w:hint="eastAsia" w:ascii="Times New Roman"/>
          <w:szCs w:val="21"/>
        </w:rPr>
        <w:t>制度管理</w:t>
      </w:r>
      <w:bookmarkEnd w:id="222"/>
      <w:bookmarkEnd w:id="223"/>
      <w:bookmarkEnd w:id="224"/>
      <w:bookmarkEnd w:id="225"/>
      <w:bookmarkEnd w:id="226"/>
      <w:bookmarkEnd w:id="227"/>
      <w:bookmarkEnd w:id="228"/>
      <w:bookmarkEnd w:id="229"/>
      <w:bookmarkEnd w:id="230"/>
      <w:bookmarkEnd w:id="231"/>
      <w:bookmarkEnd w:id="232"/>
      <w:bookmarkEnd w:id="233"/>
    </w:p>
    <w:p w14:paraId="76206683">
      <w:pPr>
        <w:numPr>
          <w:ilvl w:val="0"/>
          <w:numId w:val="14"/>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应制定安全保卫管理制度，内容应包括但不限于：</w:t>
      </w:r>
    </w:p>
    <w:p w14:paraId="347CD21F">
      <w:pPr>
        <w:pStyle w:val="37"/>
        <w:numPr>
          <w:ilvl w:val="0"/>
          <w:numId w:val="15"/>
        </w:numPr>
        <w:spacing w:line="240" w:lineRule="auto"/>
        <w:ind w:left="0" w:leftChars="0" w:firstLine="420" w:firstLineChars="200"/>
      </w:pPr>
      <w:r>
        <w:rPr>
          <w:rFonts w:hint="eastAsia"/>
        </w:rPr>
        <w:t>安全保卫方针与目标；</w:t>
      </w:r>
    </w:p>
    <w:p w14:paraId="2C2884EE">
      <w:pPr>
        <w:pStyle w:val="37"/>
        <w:numPr>
          <w:ilvl w:val="0"/>
          <w:numId w:val="15"/>
        </w:numPr>
        <w:spacing w:line="240" w:lineRule="auto"/>
        <w:ind w:left="0" w:leftChars="0" w:firstLine="420" w:firstLineChars="200"/>
      </w:pPr>
      <w:r>
        <w:rPr>
          <w:rFonts w:hint="eastAsia"/>
        </w:rPr>
        <w:t>安全保卫部门、权限和职责；</w:t>
      </w:r>
    </w:p>
    <w:p w14:paraId="7D2E0DEE">
      <w:pPr>
        <w:pStyle w:val="37"/>
        <w:numPr>
          <w:ilvl w:val="0"/>
          <w:numId w:val="15"/>
        </w:numPr>
        <w:spacing w:line="240" w:lineRule="auto"/>
        <w:ind w:left="0" w:leftChars="0" w:firstLine="420" w:firstLineChars="200"/>
      </w:pPr>
      <w:r>
        <w:rPr>
          <w:rFonts w:hint="eastAsia"/>
        </w:rPr>
        <w:t>安全保卫责任制；</w:t>
      </w:r>
    </w:p>
    <w:p w14:paraId="1F847E0F">
      <w:pPr>
        <w:pStyle w:val="37"/>
        <w:numPr>
          <w:ilvl w:val="0"/>
          <w:numId w:val="15"/>
        </w:numPr>
        <w:spacing w:line="240" w:lineRule="auto"/>
        <w:ind w:left="0" w:leftChars="0" w:firstLine="420" w:firstLineChars="200"/>
      </w:pPr>
      <w:r>
        <w:rPr>
          <w:rFonts w:hint="eastAsia"/>
        </w:rPr>
        <w:t>安全保卫年度管理方案；</w:t>
      </w:r>
    </w:p>
    <w:p w14:paraId="13892288">
      <w:pPr>
        <w:pStyle w:val="37"/>
        <w:numPr>
          <w:ilvl w:val="0"/>
          <w:numId w:val="15"/>
        </w:numPr>
        <w:spacing w:line="240" w:lineRule="auto"/>
        <w:ind w:left="0" w:leftChars="0" w:firstLine="420" w:firstLineChars="200"/>
      </w:pPr>
      <w:r>
        <w:rPr>
          <w:rFonts w:hint="eastAsia"/>
        </w:rPr>
        <w:t>风险管理与隐患排查；</w:t>
      </w:r>
    </w:p>
    <w:p w14:paraId="1A1361DE">
      <w:pPr>
        <w:pStyle w:val="37"/>
        <w:numPr>
          <w:ilvl w:val="0"/>
          <w:numId w:val="15"/>
        </w:numPr>
        <w:spacing w:line="240" w:lineRule="auto"/>
        <w:ind w:left="0" w:leftChars="0" w:firstLine="420" w:firstLineChars="200"/>
      </w:pPr>
      <w:r>
        <w:rPr>
          <w:rFonts w:hint="eastAsia"/>
        </w:rPr>
        <w:t>安全教育与培训；</w:t>
      </w:r>
    </w:p>
    <w:p w14:paraId="61E1AB6D">
      <w:pPr>
        <w:pStyle w:val="37"/>
        <w:numPr>
          <w:ilvl w:val="0"/>
          <w:numId w:val="15"/>
        </w:numPr>
        <w:spacing w:line="240" w:lineRule="auto"/>
        <w:ind w:left="0" w:leftChars="0" w:firstLine="420" w:firstLineChars="200"/>
      </w:pPr>
      <w:r>
        <w:rPr>
          <w:rFonts w:hint="eastAsia"/>
        </w:rPr>
        <w:t>安全保卫会议；</w:t>
      </w:r>
    </w:p>
    <w:p w14:paraId="0DBFEB59">
      <w:pPr>
        <w:pStyle w:val="37"/>
        <w:numPr>
          <w:ilvl w:val="0"/>
          <w:numId w:val="15"/>
        </w:numPr>
        <w:spacing w:line="240" w:lineRule="auto"/>
        <w:ind w:left="0" w:leftChars="0" w:firstLine="420" w:firstLineChars="200"/>
      </w:pPr>
      <w:r>
        <w:rPr>
          <w:rFonts w:hint="eastAsia"/>
        </w:rPr>
        <w:t>相关方管理；</w:t>
      </w:r>
    </w:p>
    <w:p w14:paraId="576F284F">
      <w:pPr>
        <w:pStyle w:val="37"/>
        <w:numPr>
          <w:ilvl w:val="0"/>
          <w:numId w:val="15"/>
        </w:numPr>
        <w:spacing w:line="240" w:lineRule="auto"/>
        <w:ind w:left="0" w:leftChars="0" w:firstLine="420" w:firstLineChars="200"/>
      </w:pPr>
      <w:r>
        <w:rPr>
          <w:rFonts w:hint="eastAsia"/>
        </w:rPr>
        <w:t>安全保卫岗位说明和能力要求；</w:t>
      </w:r>
    </w:p>
    <w:p w14:paraId="122FDA27">
      <w:pPr>
        <w:pStyle w:val="37"/>
        <w:numPr>
          <w:ilvl w:val="0"/>
          <w:numId w:val="15"/>
        </w:numPr>
        <w:spacing w:line="240" w:lineRule="auto"/>
        <w:ind w:left="0" w:leftChars="0" w:firstLine="420" w:firstLineChars="200"/>
      </w:pPr>
      <w:r>
        <w:rPr>
          <w:rFonts w:hint="eastAsia"/>
        </w:rPr>
        <w:t>岗位作业规程，包括但不限于以下内容：</w:t>
      </w:r>
    </w:p>
    <w:p w14:paraId="731B7906">
      <w:pPr>
        <w:pStyle w:val="37"/>
        <w:numPr>
          <w:ilvl w:val="0"/>
          <w:numId w:val="16"/>
        </w:numPr>
        <w:tabs>
          <w:tab w:val="left" w:pos="840"/>
          <w:tab w:val="left" w:pos="1060"/>
        </w:tabs>
        <w:spacing w:line="240" w:lineRule="auto"/>
        <w:ind w:leftChars="0" w:firstLine="415"/>
      </w:pPr>
      <w:r>
        <w:rPr>
          <w:rFonts w:hint="eastAsia" w:cs="宋体"/>
          <w:color w:val="000000" w:themeColor="text1"/>
          <w14:textFill>
            <w14:solidFill>
              <w14:schemeClr w14:val="tx1"/>
            </w14:solidFill>
          </w14:textFill>
        </w:rPr>
        <w:t>开闭馆工作流程、责任分工等</w:t>
      </w:r>
    </w:p>
    <w:p w14:paraId="2DE60BA2">
      <w:pPr>
        <w:pStyle w:val="37"/>
        <w:numPr>
          <w:ilvl w:val="0"/>
          <w:numId w:val="16"/>
        </w:numPr>
        <w:tabs>
          <w:tab w:val="left" w:pos="840"/>
          <w:tab w:val="left" w:pos="1060"/>
        </w:tabs>
        <w:spacing w:line="240" w:lineRule="auto"/>
        <w:ind w:leftChars="0" w:firstLine="415"/>
      </w:pPr>
      <w:r>
        <w:rPr>
          <w:rFonts w:hint="eastAsia"/>
        </w:rPr>
        <w:t>出入口管理工作流程、责任分工等</w:t>
      </w:r>
    </w:p>
    <w:p w14:paraId="4F93D50E">
      <w:pPr>
        <w:pStyle w:val="37"/>
        <w:numPr>
          <w:ilvl w:val="0"/>
          <w:numId w:val="16"/>
        </w:numPr>
        <w:tabs>
          <w:tab w:val="left" w:pos="840"/>
          <w:tab w:val="left" w:pos="1060"/>
        </w:tabs>
        <w:spacing w:line="240" w:lineRule="auto"/>
        <w:ind w:leftChars="0" w:firstLine="415"/>
      </w:pPr>
      <w:r>
        <w:rPr>
          <w:rFonts w:hint="eastAsia"/>
        </w:rPr>
        <w:t>安全检查周期、</w:t>
      </w:r>
      <w:r>
        <w:rPr>
          <w:rFonts w:hint="eastAsia"/>
          <w:lang w:val="en-GB"/>
        </w:rPr>
        <w:t>检查</w:t>
      </w:r>
      <w:r>
        <w:rPr>
          <w:lang w:val="en-GB"/>
        </w:rPr>
        <w:t>对象、</w:t>
      </w:r>
      <w:r>
        <w:rPr>
          <w:rFonts w:hint="eastAsia"/>
          <w:lang w:val="en-GB"/>
        </w:rPr>
        <w:t>检查</w:t>
      </w:r>
      <w:r>
        <w:rPr>
          <w:lang w:val="en-GB"/>
        </w:rPr>
        <w:t>区域、</w:t>
      </w:r>
      <w:r>
        <w:rPr>
          <w:rFonts w:hint="eastAsia"/>
          <w:lang w:val="en-GB"/>
        </w:rPr>
        <w:t>检查</w:t>
      </w:r>
      <w:r>
        <w:rPr>
          <w:lang w:val="en-GB"/>
        </w:rPr>
        <w:t>方式和检查记录等</w:t>
      </w:r>
    </w:p>
    <w:p w14:paraId="58521433">
      <w:pPr>
        <w:pStyle w:val="37"/>
        <w:numPr>
          <w:ilvl w:val="0"/>
          <w:numId w:val="16"/>
        </w:numPr>
        <w:tabs>
          <w:tab w:val="left" w:pos="840"/>
          <w:tab w:val="left" w:pos="1060"/>
        </w:tabs>
        <w:spacing w:line="240" w:lineRule="auto"/>
        <w:ind w:leftChars="0" w:firstLine="415"/>
      </w:pPr>
      <w:r>
        <w:rPr>
          <w:rFonts w:hint="eastAsia"/>
        </w:rPr>
        <w:t>值班值守岗位和人员、轮换规则等</w:t>
      </w:r>
    </w:p>
    <w:p w14:paraId="171A04A0">
      <w:pPr>
        <w:pStyle w:val="37"/>
        <w:numPr>
          <w:ilvl w:val="0"/>
          <w:numId w:val="16"/>
        </w:numPr>
        <w:tabs>
          <w:tab w:val="left" w:pos="840"/>
          <w:tab w:val="left" w:pos="1060"/>
        </w:tabs>
        <w:spacing w:line="240" w:lineRule="auto"/>
        <w:ind w:leftChars="0" w:firstLine="415"/>
      </w:pPr>
      <w:r>
        <w:rPr>
          <w:rFonts w:hint="eastAsia"/>
          <w:lang w:val="en-GB"/>
        </w:rPr>
        <w:t>钥匙领用和门锁管理规则</w:t>
      </w:r>
      <w:r>
        <w:rPr>
          <w:rFonts w:hint="eastAsia"/>
        </w:rPr>
        <w:t>等</w:t>
      </w:r>
    </w:p>
    <w:p w14:paraId="518FE39A">
      <w:pPr>
        <w:pStyle w:val="37"/>
        <w:numPr>
          <w:ilvl w:val="0"/>
          <w:numId w:val="16"/>
        </w:numPr>
        <w:tabs>
          <w:tab w:val="left" w:pos="840"/>
          <w:tab w:val="left" w:pos="1060"/>
        </w:tabs>
        <w:spacing w:line="240" w:lineRule="auto"/>
        <w:ind w:leftChars="0" w:firstLine="415"/>
      </w:pPr>
      <w:r>
        <w:rPr>
          <w:rFonts w:hint="eastAsia"/>
          <w:lang w:val="en-GB"/>
        </w:rPr>
        <w:t>证件办理、</w:t>
      </w:r>
      <w:r>
        <w:rPr>
          <w:rFonts w:hint="eastAsia"/>
        </w:rPr>
        <w:t>使用、</w:t>
      </w:r>
      <w:r>
        <w:rPr>
          <w:rFonts w:hint="eastAsia"/>
          <w:lang w:val="en-GB"/>
        </w:rPr>
        <w:t>回收流程</w:t>
      </w:r>
      <w:r>
        <w:rPr>
          <w:rFonts w:hint="eastAsia"/>
        </w:rPr>
        <w:t>等</w:t>
      </w:r>
    </w:p>
    <w:p w14:paraId="788C6D45">
      <w:pPr>
        <w:pStyle w:val="37"/>
        <w:numPr>
          <w:ilvl w:val="0"/>
          <w:numId w:val="16"/>
        </w:numPr>
        <w:tabs>
          <w:tab w:val="left" w:pos="840"/>
          <w:tab w:val="left" w:pos="1060"/>
        </w:tabs>
        <w:spacing w:line="240" w:lineRule="auto"/>
        <w:ind w:leftChars="0" w:firstLine="415"/>
      </w:pPr>
      <w:r>
        <w:rPr>
          <w:rFonts w:hint="eastAsia"/>
        </w:rPr>
        <w:t>电子防范系统</w:t>
      </w:r>
      <w:r>
        <w:rPr>
          <w:rFonts w:hint="eastAsia"/>
          <w:lang w:val="en-GB"/>
        </w:rPr>
        <w:t>值守、检修、保养、故障处理流程</w:t>
      </w:r>
      <w:r>
        <w:rPr>
          <w:rFonts w:hint="eastAsia"/>
        </w:rPr>
        <w:t>等</w:t>
      </w:r>
    </w:p>
    <w:p w14:paraId="6499B4AE">
      <w:pPr>
        <w:pStyle w:val="37"/>
        <w:numPr>
          <w:ilvl w:val="0"/>
          <w:numId w:val="16"/>
        </w:numPr>
        <w:tabs>
          <w:tab w:val="left" w:pos="840"/>
          <w:tab w:val="left" w:pos="1060"/>
        </w:tabs>
        <w:spacing w:line="240" w:lineRule="auto"/>
        <w:ind w:leftChars="0" w:firstLine="415"/>
      </w:pPr>
      <w:r>
        <w:rPr>
          <w:rFonts w:hint="eastAsia"/>
          <w:lang w:val="en-GB"/>
        </w:rPr>
        <w:t>重点部位巡查检查、进出审批程序</w:t>
      </w:r>
      <w:r>
        <w:rPr>
          <w:rFonts w:hint="eastAsia"/>
        </w:rPr>
        <w:t>流程</w:t>
      </w:r>
      <w:r>
        <w:rPr>
          <w:rFonts w:hint="eastAsia"/>
          <w:lang w:val="en-GB"/>
        </w:rPr>
        <w:t>等</w:t>
      </w:r>
    </w:p>
    <w:p w14:paraId="716A0655">
      <w:pPr>
        <w:pStyle w:val="37"/>
        <w:numPr>
          <w:ilvl w:val="0"/>
          <w:numId w:val="16"/>
        </w:numPr>
        <w:tabs>
          <w:tab w:val="left" w:pos="840"/>
          <w:tab w:val="left" w:pos="1060"/>
        </w:tabs>
        <w:spacing w:line="240" w:lineRule="auto"/>
        <w:ind w:leftChars="0" w:firstLine="415"/>
      </w:pPr>
      <w:r>
        <w:rPr>
          <w:rFonts w:hint="eastAsia"/>
        </w:rPr>
        <w:t>布撤展安全保卫人员配备、展览区域容纳人数、应急预案等</w:t>
      </w:r>
    </w:p>
    <w:p w14:paraId="4489C416">
      <w:pPr>
        <w:pStyle w:val="37"/>
        <w:numPr>
          <w:ilvl w:val="0"/>
          <w:numId w:val="16"/>
        </w:numPr>
        <w:tabs>
          <w:tab w:val="left" w:pos="840"/>
          <w:tab w:val="left" w:pos="1060"/>
        </w:tabs>
        <w:spacing w:line="240" w:lineRule="auto"/>
        <w:ind w:leftChars="0" w:firstLine="415"/>
      </w:pPr>
      <w:r>
        <w:rPr>
          <w:rFonts w:hint="eastAsia"/>
        </w:rPr>
        <w:t>临时性活动安保措施，人员、车辆管理方案等</w:t>
      </w:r>
    </w:p>
    <w:p w14:paraId="79B9726F">
      <w:pPr>
        <w:pStyle w:val="37"/>
        <w:numPr>
          <w:ilvl w:val="0"/>
          <w:numId w:val="15"/>
        </w:numPr>
        <w:spacing w:line="240" w:lineRule="auto"/>
        <w:ind w:left="0" w:leftChars="0" w:firstLine="420" w:firstLineChars="200"/>
      </w:pPr>
      <w:r>
        <w:rPr>
          <w:rFonts w:hint="eastAsia"/>
        </w:rPr>
        <w:t>应急准备与响应，包括但不限于以下内容：</w:t>
      </w:r>
    </w:p>
    <w:p w14:paraId="351B51C2">
      <w:pPr>
        <w:pStyle w:val="37"/>
        <w:numPr>
          <w:ilvl w:val="0"/>
          <w:numId w:val="17"/>
        </w:numPr>
        <w:tabs>
          <w:tab w:val="left" w:pos="840"/>
          <w:tab w:val="left" w:pos="1060"/>
        </w:tabs>
        <w:spacing w:line="240" w:lineRule="auto"/>
        <w:ind w:leftChars="0" w:firstLine="415"/>
      </w:pPr>
      <w:r>
        <w:rPr>
          <w:rFonts w:hint="eastAsia"/>
        </w:rPr>
        <w:t>应急预案与演练</w:t>
      </w:r>
    </w:p>
    <w:p w14:paraId="68027918">
      <w:pPr>
        <w:pStyle w:val="37"/>
        <w:numPr>
          <w:ilvl w:val="0"/>
          <w:numId w:val="17"/>
        </w:numPr>
        <w:tabs>
          <w:tab w:val="left" w:pos="840"/>
          <w:tab w:val="left" w:pos="1060"/>
        </w:tabs>
        <w:spacing w:line="240" w:lineRule="auto"/>
        <w:ind w:leftChars="0" w:firstLine="415"/>
      </w:pPr>
      <w:r>
        <w:rPr>
          <w:rFonts w:hint="eastAsia"/>
        </w:rPr>
        <w:t>应急物资与队伍</w:t>
      </w:r>
    </w:p>
    <w:p w14:paraId="0F63A688">
      <w:pPr>
        <w:pStyle w:val="37"/>
        <w:numPr>
          <w:ilvl w:val="0"/>
          <w:numId w:val="17"/>
        </w:numPr>
        <w:tabs>
          <w:tab w:val="left" w:pos="840"/>
          <w:tab w:val="left" w:pos="1060"/>
        </w:tabs>
        <w:spacing w:line="240" w:lineRule="auto"/>
        <w:ind w:leftChars="0" w:firstLine="415"/>
      </w:pPr>
      <w:r>
        <w:rPr>
          <w:rFonts w:hint="eastAsia"/>
        </w:rPr>
        <w:t>事件调查与评估</w:t>
      </w:r>
    </w:p>
    <w:p w14:paraId="0281B0D9">
      <w:pPr>
        <w:pStyle w:val="37"/>
        <w:numPr>
          <w:ilvl w:val="0"/>
          <w:numId w:val="15"/>
        </w:numPr>
        <w:spacing w:line="240" w:lineRule="auto"/>
        <w:ind w:left="0" w:leftChars="0" w:firstLine="420" w:firstLineChars="200"/>
      </w:pPr>
      <w:r>
        <w:rPr>
          <w:rFonts w:hint="eastAsia"/>
        </w:rPr>
        <w:t>审核与评估。</w:t>
      </w:r>
    </w:p>
    <w:p w14:paraId="576D11A4">
      <w:pPr>
        <w:numPr>
          <w:ilvl w:val="0"/>
          <w:numId w:val="14"/>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应建立安全保卫管理制度的动态评审与更新机制，更新条件宜包括但不限于：</w:t>
      </w:r>
    </w:p>
    <w:p w14:paraId="5EDBE171">
      <w:pPr>
        <w:pStyle w:val="37"/>
        <w:numPr>
          <w:ilvl w:val="0"/>
          <w:numId w:val="18"/>
        </w:numPr>
        <w:spacing w:line="240" w:lineRule="auto"/>
        <w:ind w:left="0" w:leftChars="0" w:firstLine="420" w:firstLineChars="200"/>
      </w:pPr>
      <w:r>
        <w:rPr>
          <w:rFonts w:hint="eastAsia"/>
        </w:rPr>
        <w:t>有关法律、行政法规、规章、标准等有关规定发生变化；</w:t>
      </w:r>
    </w:p>
    <w:p w14:paraId="08EFC91D">
      <w:pPr>
        <w:pStyle w:val="37"/>
        <w:numPr>
          <w:ilvl w:val="0"/>
          <w:numId w:val="18"/>
        </w:numPr>
        <w:spacing w:line="240" w:lineRule="auto"/>
        <w:ind w:left="0" w:leftChars="0" w:firstLine="420" w:firstLineChars="200"/>
      </w:pPr>
      <w:r>
        <w:rPr>
          <w:rFonts w:hint="eastAsia"/>
        </w:rPr>
        <w:t>组织机构及其职责发生调整；</w:t>
      </w:r>
    </w:p>
    <w:p w14:paraId="402F215B">
      <w:pPr>
        <w:pStyle w:val="37"/>
        <w:numPr>
          <w:ilvl w:val="0"/>
          <w:numId w:val="18"/>
        </w:numPr>
        <w:spacing w:line="240" w:lineRule="auto"/>
        <w:ind w:left="0" w:leftChars="0" w:firstLine="420" w:firstLineChars="200"/>
      </w:pPr>
      <w:r>
        <w:rPr>
          <w:rFonts w:hint="eastAsia"/>
        </w:rPr>
        <w:t>面临的威胁和风险发生变化；</w:t>
      </w:r>
    </w:p>
    <w:p w14:paraId="7E9559FB">
      <w:pPr>
        <w:pStyle w:val="37"/>
        <w:numPr>
          <w:ilvl w:val="0"/>
          <w:numId w:val="18"/>
        </w:numPr>
        <w:spacing w:line="240" w:lineRule="auto"/>
        <w:ind w:left="0" w:leftChars="0" w:firstLine="420" w:firstLineChars="200"/>
      </w:pPr>
      <w:r>
        <w:rPr>
          <w:rFonts w:hint="eastAsia"/>
        </w:rPr>
        <w:t>安全保卫人力、物力、财力等核心资源发生变化；</w:t>
      </w:r>
    </w:p>
    <w:p w14:paraId="5B71DA64">
      <w:pPr>
        <w:pStyle w:val="37"/>
        <w:numPr>
          <w:ilvl w:val="0"/>
          <w:numId w:val="18"/>
        </w:numPr>
        <w:spacing w:line="240" w:lineRule="auto"/>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开放区域、开放模式、展陈内容等发生变化；</w:t>
      </w:r>
    </w:p>
    <w:p w14:paraId="37522C50">
      <w:pPr>
        <w:pStyle w:val="37"/>
        <w:numPr>
          <w:ilvl w:val="0"/>
          <w:numId w:val="18"/>
        </w:numPr>
        <w:spacing w:line="240" w:lineRule="auto"/>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在日常运行、事件应对和应急演练中发现问题；</w:t>
      </w:r>
    </w:p>
    <w:p w14:paraId="01EF2215">
      <w:pPr>
        <w:pStyle w:val="37"/>
        <w:numPr>
          <w:ilvl w:val="0"/>
          <w:numId w:val="18"/>
        </w:numPr>
        <w:spacing w:line="240" w:lineRule="auto"/>
        <w:ind w:left="0" w:leftChars="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其他经评估认为应当更新制度的情形。</w:t>
      </w:r>
    </w:p>
    <w:p w14:paraId="16B34B9D">
      <w:pPr>
        <w:pStyle w:val="33"/>
        <w:spacing w:before="240" w:after="240"/>
        <w:rPr>
          <w:rFonts w:ascii="Times New Roman"/>
          <w:szCs w:val="21"/>
        </w:rPr>
      </w:pPr>
      <w:bookmarkStart w:id="234" w:name="_Toc14947"/>
      <w:bookmarkStart w:id="235" w:name="_Toc19615"/>
      <w:bookmarkStart w:id="236" w:name="_Toc12733"/>
      <w:r>
        <w:rPr>
          <w:rFonts w:hint="eastAsia" w:ascii="Times New Roman"/>
          <w:szCs w:val="21"/>
        </w:rPr>
        <w:t>日常管理</w:t>
      </w:r>
      <w:bookmarkEnd w:id="234"/>
      <w:bookmarkEnd w:id="235"/>
      <w:bookmarkEnd w:id="236"/>
    </w:p>
    <w:p w14:paraId="07814A21">
      <w:pPr>
        <w:pStyle w:val="36"/>
        <w:spacing w:before="120" w:after="120"/>
        <w:rPr>
          <w:rFonts w:ascii="Times New Roman"/>
        </w:rPr>
      </w:pPr>
      <w:bookmarkStart w:id="237" w:name="_Toc25922"/>
      <w:bookmarkStart w:id="238" w:name="_Toc19266"/>
      <w:bookmarkStart w:id="239" w:name="_Toc31770"/>
      <w:bookmarkStart w:id="240" w:name="_Toc29274"/>
      <w:bookmarkStart w:id="241" w:name="_Toc29649"/>
      <w:bookmarkStart w:id="242" w:name="_Toc16456"/>
      <w:bookmarkStart w:id="243" w:name="_Toc19"/>
      <w:bookmarkStart w:id="244" w:name="_Toc13839"/>
      <w:bookmarkStart w:id="245" w:name="_Toc13657"/>
      <w:bookmarkStart w:id="246" w:name="_Toc25453"/>
      <w:bookmarkStart w:id="247" w:name="_Toc6303"/>
      <w:bookmarkStart w:id="248" w:name="_Toc8345"/>
      <w:bookmarkStart w:id="249" w:name="_Toc9282"/>
      <w:r>
        <w:rPr>
          <w:rFonts w:hint="eastAsia" w:ascii="Times New Roman"/>
        </w:rPr>
        <w:t>开闭馆管理</w:t>
      </w:r>
      <w:bookmarkEnd w:id="237"/>
      <w:bookmarkEnd w:id="238"/>
      <w:bookmarkEnd w:id="239"/>
      <w:bookmarkEnd w:id="240"/>
      <w:bookmarkEnd w:id="241"/>
      <w:bookmarkEnd w:id="242"/>
      <w:bookmarkEnd w:id="243"/>
      <w:bookmarkEnd w:id="244"/>
      <w:bookmarkEnd w:id="245"/>
      <w:bookmarkEnd w:id="246"/>
      <w:bookmarkEnd w:id="247"/>
      <w:bookmarkEnd w:id="248"/>
      <w:bookmarkEnd w:id="249"/>
    </w:p>
    <w:p w14:paraId="4FDBB550">
      <w:pPr>
        <w:widowControl/>
        <w:numPr>
          <w:ilvl w:val="0"/>
          <w:numId w:val="19"/>
        </w:numPr>
        <w:tabs>
          <w:tab w:val="left" w:pos="312"/>
          <w:tab w:val="left" w:pos="720"/>
          <w:tab w:val="left" w:pos="960"/>
          <w:tab w:val="left" w:pos="1200"/>
          <w:tab w:val="clear" w:pos="0"/>
        </w:tabs>
        <w:spacing w:line="300" w:lineRule="auto"/>
        <w:rPr>
          <w:rFonts w:ascii="Times New Roman" w:hAnsi="Times New Roman" w:cs="宋体"/>
          <w:color w:val="0F1115"/>
          <w:shd w:val="clear" w:color="auto" w:fill="FFFFFF"/>
        </w:rPr>
      </w:pPr>
      <w:bookmarkStart w:id="250" w:name="_Toc15267"/>
      <w:bookmarkStart w:id="251" w:name="_Toc16954"/>
      <w:bookmarkStart w:id="252" w:name="_Toc4714"/>
      <w:bookmarkStart w:id="253" w:name="_Toc23958"/>
      <w:r>
        <w:rPr>
          <w:rFonts w:hint="eastAsia" w:ascii="Times New Roman" w:hAnsi="Times New Roman" w:cs="宋体"/>
          <w:color w:val="0F1115"/>
          <w:shd w:val="clear" w:color="auto" w:fill="FFFFFF"/>
        </w:rPr>
        <w:t>应建立跨部门协同机制，明确安全保卫部门的统筹与监督职责。藏品管理、展览开放、设备保障等部门应按区域或专业分工，履行相应职责。</w:t>
      </w:r>
    </w:p>
    <w:p w14:paraId="1AED2FBB">
      <w:pPr>
        <w:widowControl/>
        <w:numPr>
          <w:ilvl w:val="0"/>
          <w:numId w:val="19"/>
        </w:numPr>
        <w:tabs>
          <w:tab w:val="left" w:pos="312"/>
          <w:tab w:val="left" w:pos="720"/>
          <w:tab w:val="left" w:pos="960"/>
          <w:tab w:val="left" w:pos="1200"/>
          <w:tab w:val="clear" w:pos="0"/>
        </w:tabs>
        <w:spacing w:line="300" w:lineRule="auto"/>
        <w:rPr>
          <w:rFonts w:ascii="Times New Roman" w:hAnsi="Times New Roman" w:cs="宋体"/>
        </w:rPr>
      </w:pPr>
      <w:r>
        <w:rPr>
          <w:rFonts w:hint="eastAsia" w:ascii="Times New Roman" w:hAnsi="Times New Roman" w:cs="宋体"/>
          <w:color w:val="0F1115"/>
          <w:shd w:val="clear" w:color="auto" w:fill="FFFFFF"/>
        </w:rPr>
        <w:t>开馆检查现场操作人员不应少于2人，宜采取多部门联合编组模式，确认安防消防系统、文物保存环境、展陈设施及公共服务设施均启动正常、运行有效、状态达标。</w:t>
      </w:r>
    </w:p>
    <w:p w14:paraId="4385CB35">
      <w:pPr>
        <w:widowControl/>
        <w:numPr>
          <w:ilvl w:val="0"/>
          <w:numId w:val="19"/>
        </w:numPr>
        <w:tabs>
          <w:tab w:val="left" w:pos="312"/>
          <w:tab w:val="left" w:pos="720"/>
          <w:tab w:val="left" w:pos="960"/>
          <w:tab w:val="left" w:pos="1200"/>
          <w:tab w:val="clear" w:pos="0"/>
        </w:tabs>
        <w:spacing w:line="300" w:lineRule="auto"/>
        <w:rPr>
          <w:rFonts w:ascii="Times New Roman" w:hAnsi="Times New Roman" w:cs="宋体"/>
        </w:rPr>
      </w:pPr>
      <w:r>
        <w:rPr>
          <w:rFonts w:hint="eastAsia" w:ascii="Times New Roman" w:hAnsi="Times New Roman" w:cs="宋体"/>
          <w:color w:val="0F1115"/>
          <w:shd w:val="clear" w:color="auto" w:fill="FFFFFF"/>
        </w:rPr>
        <w:t>开闭馆检查应按照预设路线实施，对重点部位实行交叉检查与双重验证。</w:t>
      </w:r>
    </w:p>
    <w:p w14:paraId="11640A8E">
      <w:pPr>
        <w:widowControl/>
        <w:numPr>
          <w:ilvl w:val="0"/>
          <w:numId w:val="19"/>
        </w:numPr>
        <w:tabs>
          <w:tab w:val="left" w:pos="312"/>
          <w:tab w:val="left" w:pos="720"/>
          <w:tab w:val="left" w:pos="960"/>
          <w:tab w:val="left" w:pos="1200"/>
          <w:tab w:val="clear" w:pos="0"/>
        </w:tabs>
        <w:spacing w:line="300" w:lineRule="auto"/>
        <w:rPr>
          <w:rFonts w:ascii="Times New Roman" w:hAnsi="Times New Roman"/>
          <w:shd w:val="clear" w:color="auto" w:fill="FFFFFF"/>
        </w:rPr>
      </w:pPr>
      <w:r>
        <w:rPr>
          <w:rFonts w:hint="eastAsia" w:ascii="Times New Roman" w:hAnsi="Times New Roman" w:cs="宋体"/>
          <w:color w:val="0F1115"/>
          <w:shd w:val="clear" w:color="auto" w:fill="FFFFFF"/>
        </w:rPr>
        <w:t>闭馆检查现场操作人员不应少于2人，应执行“清场、检查、能源管控、封闭、布防”流程，确认所有非工作人员已离场、非必要能源已关闭、完成物理封闭与技防布防。</w:t>
      </w:r>
    </w:p>
    <w:p w14:paraId="495CE7AE">
      <w:pPr>
        <w:widowControl/>
        <w:numPr>
          <w:ilvl w:val="0"/>
          <w:numId w:val="19"/>
        </w:numPr>
        <w:tabs>
          <w:tab w:val="left" w:pos="312"/>
          <w:tab w:val="left" w:pos="720"/>
          <w:tab w:val="left" w:pos="960"/>
          <w:tab w:val="left" w:pos="1200"/>
          <w:tab w:val="clear" w:pos="0"/>
        </w:tabs>
        <w:adjustRightInd/>
        <w:spacing w:line="300" w:lineRule="auto"/>
        <w:rPr>
          <w:rFonts w:ascii="Times New Roman" w:hAnsi="Times New Roman" w:cs="宋体"/>
          <w:color w:val="0F1115"/>
          <w:shd w:val="clear" w:color="auto" w:fill="FFFFFF"/>
        </w:rPr>
      </w:pPr>
      <w:r>
        <w:rPr>
          <w:rFonts w:ascii="Times New Roman" w:hAnsi="Times New Roman"/>
        </w:rPr>
        <w:t>闭馆期间如存在施工、布撤展等特殊项目，</w:t>
      </w:r>
      <w:r>
        <w:rPr>
          <w:rFonts w:hint="eastAsia" w:ascii="Times New Roman" w:hAnsi="Times New Roman"/>
        </w:rPr>
        <w:t>应</w:t>
      </w:r>
      <w:r>
        <w:rPr>
          <w:rFonts w:ascii="Times New Roman" w:hAnsi="Times New Roman"/>
        </w:rPr>
        <w:t>与项目</w:t>
      </w:r>
      <w:r>
        <w:rPr>
          <w:rFonts w:hint="eastAsia" w:ascii="Times New Roman" w:hAnsi="Times New Roman"/>
        </w:rPr>
        <w:t>主管部门</w:t>
      </w:r>
      <w:r>
        <w:rPr>
          <w:rFonts w:ascii="Times New Roman" w:hAnsi="Times New Roman"/>
        </w:rPr>
        <w:t>履行书面安全交接</w:t>
      </w:r>
      <w:r>
        <w:rPr>
          <w:rFonts w:hint="eastAsia" w:ascii="Times New Roman" w:hAnsi="Times New Roman"/>
        </w:rPr>
        <w:t>程序</w:t>
      </w:r>
      <w:r>
        <w:rPr>
          <w:rFonts w:ascii="Times New Roman" w:hAnsi="Times New Roman"/>
        </w:rPr>
        <w:t>，明确施工内容、区域、风险及安全监督责任。作业可能接触文物或构成安全隐患</w:t>
      </w:r>
      <w:r>
        <w:rPr>
          <w:rFonts w:hint="eastAsia" w:ascii="Times New Roman" w:hAnsi="Times New Roman"/>
        </w:rPr>
        <w:t>时</w:t>
      </w:r>
      <w:r>
        <w:rPr>
          <w:rFonts w:ascii="Times New Roman" w:hAnsi="Times New Roman"/>
        </w:rPr>
        <w:t>，</w:t>
      </w:r>
      <w:r>
        <w:rPr>
          <w:rFonts w:hint="eastAsia" w:ascii="Times New Roman" w:hAnsi="Times New Roman"/>
        </w:rPr>
        <w:t>应</w:t>
      </w:r>
      <w:r>
        <w:rPr>
          <w:rFonts w:ascii="Times New Roman" w:hAnsi="Times New Roman"/>
        </w:rPr>
        <w:t>安排文物保护专业人员与安全保卫人员实施</w:t>
      </w:r>
      <w:r>
        <w:rPr>
          <w:rFonts w:hint="eastAsia" w:ascii="Times New Roman" w:hAnsi="Times New Roman"/>
        </w:rPr>
        <w:t>“</w:t>
      </w:r>
      <w:r>
        <w:rPr>
          <w:rFonts w:ascii="Times New Roman" w:hAnsi="Times New Roman"/>
        </w:rPr>
        <w:t>双人、全程、现场</w:t>
      </w:r>
      <w:r>
        <w:rPr>
          <w:rFonts w:hint="eastAsia" w:ascii="Times New Roman" w:hAnsi="Times New Roman"/>
        </w:rPr>
        <w:t>”</w:t>
      </w:r>
      <w:r>
        <w:rPr>
          <w:rFonts w:ascii="Times New Roman" w:hAnsi="Times New Roman"/>
        </w:rPr>
        <w:t>监督。</w:t>
      </w:r>
    </w:p>
    <w:p w14:paraId="25258202">
      <w:pPr>
        <w:pStyle w:val="36"/>
        <w:tabs>
          <w:tab w:val="left" w:pos="312"/>
          <w:tab w:val="left" w:pos="960"/>
          <w:tab w:val="left" w:pos="1200"/>
        </w:tabs>
        <w:spacing w:before="120" w:after="120"/>
        <w:rPr>
          <w:rFonts w:ascii="Times New Roman"/>
          <w:lang w:val="en-GB"/>
        </w:rPr>
      </w:pPr>
      <w:bookmarkStart w:id="254" w:name="_Toc30687"/>
      <w:bookmarkStart w:id="255" w:name="_Toc26979"/>
      <w:bookmarkStart w:id="256" w:name="_Toc13484"/>
      <w:bookmarkStart w:id="257" w:name="_Toc26760"/>
      <w:bookmarkStart w:id="258" w:name="_Toc14080"/>
      <w:bookmarkStart w:id="259" w:name="_Toc3545"/>
      <w:bookmarkStart w:id="260" w:name="_Toc21066"/>
      <w:bookmarkStart w:id="261" w:name="_Toc9236"/>
      <w:r>
        <w:rPr>
          <w:rFonts w:ascii="Times New Roman"/>
        </w:rPr>
        <w:t>出入口管理</w:t>
      </w:r>
      <w:bookmarkEnd w:id="254"/>
      <w:bookmarkEnd w:id="255"/>
      <w:bookmarkEnd w:id="256"/>
      <w:bookmarkEnd w:id="257"/>
      <w:bookmarkEnd w:id="258"/>
      <w:bookmarkEnd w:id="259"/>
      <w:bookmarkEnd w:id="260"/>
      <w:bookmarkEnd w:id="261"/>
    </w:p>
    <w:p w14:paraId="161141B4">
      <w:pPr>
        <w:numPr>
          <w:ilvl w:val="0"/>
          <w:numId w:val="20"/>
        </w:numPr>
        <w:spacing w:line="300" w:lineRule="auto"/>
        <w:rPr>
          <w:rFonts w:ascii="Times New Roman" w:hAnsi="Times New Roman"/>
          <w:lang w:val="en-GB"/>
        </w:rPr>
      </w:pPr>
      <w:r>
        <w:rPr>
          <w:rFonts w:ascii="Times New Roman" w:hAnsi="Times New Roman"/>
          <w:lang w:val="en-GB"/>
        </w:rPr>
        <w:t>出入口应设置受控区、观众缓冲区、安检区等区域。受控区应设定人员出入权限。观众缓冲区应规划人员流线，张贴指引标志。安检区应设置隔离栏或隔离墙。</w:t>
      </w:r>
    </w:p>
    <w:p w14:paraId="7C110077">
      <w:pPr>
        <w:numPr>
          <w:ilvl w:val="255"/>
          <w:numId w:val="0"/>
        </w:numPr>
        <w:tabs>
          <w:tab w:val="left" w:pos="720"/>
          <w:tab w:val="left" w:pos="960"/>
          <w:tab w:val="left" w:pos="1200"/>
        </w:tabs>
        <w:spacing w:line="300" w:lineRule="auto"/>
        <w:ind w:left="796" w:leftChars="200" w:hanging="376" w:hangingChars="209"/>
        <w:rPr>
          <w:rFonts w:ascii="Times New Roman" w:hAnsi="Times New Roman" w:eastAsia="黑体" w:cs="黑体"/>
          <w:sz w:val="18"/>
          <w:szCs w:val="18"/>
          <w:lang w:val="en-GB"/>
        </w:rPr>
      </w:pPr>
      <w:r>
        <w:rPr>
          <w:rFonts w:hint="eastAsia" w:ascii="Times New Roman" w:hAnsi="Times New Roman" w:eastAsia="黑体" w:cs="黑体"/>
          <w:sz w:val="18"/>
          <w:szCs w:val="18"/>
        </w:rPr>
        <w:t>注：</w:t>
      </w:r>
      <w:r>
        <w:rPr>
          <w:rFonts w:hint="eastAsia" w:asciiTheme="minorEastAsia" w:hAnsiTheme="minorEastAsia" w:eastAsiaTheme="minorEastAsia" w:cstheme="minorEastAsia"/>
          <w:sz w:val="18"/>
          <w:szCs w:val="18"/>
        </w:rPr>
        <w:t>受控区指由物理边界定义的具有一个或多个出入口控制点的空间区域。</w:t>
      </w:r>
    </w:p>
    <w:p w14:paraId="3BACFF47">
      <w:pPr>
        <w:numPr>
          <w:ilvl w:val="0"/>
          <w:numId w:val="20"/>
        </w:numPr>
        <w:tabs>
          <w:tab w:val="left" w:pos="312"/>
          <w:tab w:val="left" w:pos="960"/>
          <w:tab w:val="left" w:pos="1200"/>
          <w:tab w:val="clear" w:pos="0"/>
        </w:tabs>
        <w:spacing w:line="240" w:lineRule="auto"/>
        <w:rPr>
          <w:rFonts w:ascii="Times New Roman" w:hAnsi="Times New Roman"/>
          <w:lang w:val="en-GB"/>
        </w:rPr>
      </w:pPr>
      <w:r>
        <w:rPr>
          <w:rFonts w:ascii="Times New Roman" w:hAnsi="Times New Roman"/>
          <w:lang w:val="en-GB"/>
        </w:rPr>
        <w:t>出入口应根据被检人员、物品、车辆流量设置安全检查通道数量，配备安全检查设施和人员。</w:t>
      </w:r>
    </w:p>
    <w:p w14:paraId="0FD7A43A">
      <w:pPr>
        <w:numPr>
          <w:ilvl w:val="0"/>
          <w:numId w:val="20"/>
        </w:numPr>
        <w:tabs>
          <w:tab w:val="left" w:pos="312"/>
          <w:tab w:val="left" w:pos="960"/>
          <w:tab w:val="left" w:pos="1200"/>
          <w:tab w:val="clear" w:pos="0"/>
        </w:tabs>
        <w:spacing w:line="240" w:lineRule="auto"/>
        <w:rPr>
          <w:rFonts w:ascii="Times New Roman" w:hAnsi="Times New Roman"/>
          <w:lang w:val="en-GB"/>
        </w:rPr>
      </w:pPr>
      <w:r>
        <w:rPr>
          <w:rFonts w:ascii="Times New Roman" w:hAnsi="Times New Roman"/>
          <w:lang w:val="en-GB"/>
        </w:rPr>
        <w:t>出入口应配置违禁物品的存放场所或处置设备</w:t>
      </w:r>
      <w:r>
        <w:rPr>
          <w:rFonts w:hint="eastAsia" w:ascii="Times New Roman" w:hAnsi="Times New Roman"/>
          <w:lang w:val="en-GB"/>
        </w:rPr>
        <w:t>，</w:t>
      </w:r>
      <w:r>
        <w:rPr>
          <w:rFonts w:ascii="Times New Roman" w:hAnsi="Times New Roman"/>
          <w:lang w:val="en-GB"/>
        </w:rPr>
        <w:t>宜制定观众禁带物品清单</w:t>
      </w:r>
      <w:bookmarkStart w:id="417" w:name="_GoBack"/>
      <w:bookmarkEnd w:id="417"/>
      <w:r>
        <w:rPr>
          <w:rFonts w:ascii="Times New Roman" w:hAnsi="Times New Roman"/>
          <w:lang w:val="en-GB"/>
        </w:rPr>
        <w:t>，并告知观众</w:t>
      </w:r>
      <w:r>
        <w:rPr>
          <w:rFonts w:hint="eastAsia" w:ascii="Times New Roman" w:hAnsi="Times New Roman"/>
          <w:lang w:val="en-GB"/>
        </w:rPr>
        <w:t>，</w:t>
      </w:r>
      <w:r>
        <w:rPr>
          <w:rFonts w:ascii="Times New Roman" w:hAnsi="Times New Roman"/>
          <w:lang w:val="en-GB"/>
        </w:rPr>
        <w:t>观众禁带物品清单示例见附录A。</w:t>
      </w:r>
    </w:p>
    <w:p w14:paraId="241ABD1B">
      <w:pPr>
        <w:numPr>
          <w:ilvl w:val="0"/>
          <w:numId w:val="20"/>
        </w:numPr>
        <w:tabs>
          <w:tab w:val="left" w:pos="312"/>
          <w:tab w:val="left" w:pos="960"/>
          <w:tab w:val="left" w:pos="1200"/>
          <w:tab w:val="clear" w:pos="0"/>
        </w:tabs>
        <w:spacing w:line="240" w:lineRule="auto"/>
        <w:rPr>
          <w:rFonts w:ascii="Times New Roman" w:hAnsi="Times New Roman"/>
          <w:lang w:val="en-GB"/>
        </w:rPr>
      </w:pPr>
      <w:r>
        <w:rPr>
          <w:rFonts w:hint="eastAsia" w:ascii="Times New Roman" w:hAnsi="Times New Roman"/>
        </w:rPr>
        <w:t>出入口应由</w:t>
      </w:r>
      <w:r>
        <w:rPr>
          <w:rFonts w:ascii="Times New Roman" w:hAnsi="Times New Roman"/>
          <w:lang w:val="en-GB"/>
        </w:rPr>
        <w:t>安全保卫人员</w:t>
      </w:r>
      <w:r>
        <w:rPr>
          <w:rFonts w:hint="eastAsia" w:ascii="Times New Roman" w:hAnsi="Times New Roman"/>
        </w:rPr>
        <w:t>每天</w:t>
      </w:r>
      <w:r>
        <w:rPr>
          <w:rFonts w:ascii="Times New Roman" w:hAnsi="Times New Roman"/>
          <w:lang w:val="en-GB"/>
        </w:rPr>
        <w:t>24小时值守或配置满足GB50348和GB/T 37078要求的出入口控制系统。</w:t>
      </w:r>
    </w:p>
    <w:p w14:paraId="367CC5EB">
      <w:pPr>
        <w:numPr>
          <w:ilvl w:val="0"/>
          <w:numId w:val="20"/>
        </w:numPr>
        <w:tabs>
          <w:tab w:val="left" w:pos="312"/>
          <w:tab w:val="left" w:pos="960"/>
          <w:tab w:val="left" w:pos="1200"/>
          <w:tab w:val="clear" w:pos="0"/>
        </w:tabs>
        <w:spacing w:line="240" w:lineRule="auto"/>
        <w:rPr>
          <w:rFonts w:ascii="Times New Roman" w:hAnsi="Times New Roman"/>
          <w:lang w:val="en-GB"/>
        </w:rPr>
      </w:pPr>
      <w:r>
        <w:rPr>
          <w:rFonts w:ascii="Times New Roman" w:hAnsi="Times New Roman"/>
          <w:lang w:val="en-GB"/>
        </w:rPr>
        <w:t>应按照WW/T 0083确定</w:t>
      </w:r>
      <w:r>
        <w:rPr>
          <w:rFonts w:hint="eastAsia" w:ascii="Times New Roman" w:hAnsi="Times New Roman"/>
        </w:rPr>
        <w:t>观众</w:t>
      </w:r>
      <w:r>
        <w:rPr>
          <w:rFonts w:ascii="Times New Roman" w:hAnsi="Times New Roman"/>
          <w:lang w:val="en-GB"/>
        </w:rPr>
        <w:t>承载量，并根据承载量结果制定安全保卫方案。采取网络预约、错峰参观、限时限流、实时监测、预警上报等方式，调节控制</w:t>
      </w:r>
      <w:r>
        <w:rPr>
          <w:rFonts w:hint="eastAsia" w:ascii="Times New Roman" w:hAnsi="Times New Roman"/>
        </w:rPr>
        <w:t>观众数</w:t>
      </w:r>
      <w:r>
        <w:rPr>
          <w:rFonts w:ascii="Times New Roman" w:hAnsi="Times New Roman"/>
          <w:lang w:val="en-GB"/>
        </w:rPr>
        <w:t>量，并根据馆内客流状态，调整限流和参观路线。</w:t>
      </w:r>
    </w:p>
    <w:p w14:paraId="45E5E8E7">
      <w:pPr>
        <w:pStyle w:val="36"/>
        <w:spacing w:before="120" w:after="120"/>
        <w:rPr>
          <w:rFonts w:ascii="Times New Roman"/>
        </w:rPr>
      </w:pPr>
      <w:bookmarkStart w:id="262" w:name="_Toc16028"/>
      <w:bookmarkStart w:id="263" w:name="_Toc7223"/>
      <w:bookmarkStart w:id="264" w:name="_Toc9092"/>
      <w:bookmarkStart w:id="265" w:name="_Toc19595"/>
      <w:bookmarkStart w:id="266" w:name="_Toc16503"/>
      <w:bookmarkStart w:id="267" w:name="_Toc23330"/>
      <w:bookmarkStart w:id="268" w:name="_Toc24292"/>
      <w:bookmarkStart w:id="269" w:name="_Toc2655"/>
      <w:r>
        <w:rPr>
          <w:rFonts w:hint="eastAsia" w:ascii="Times New Roman"/>
        </w:rPr>
        <w:t>安全检查管理</w:t>
      </w:r>
      <w:bookmarkEnd w:id="262"/>
      <w:bookmarkEnd w:id="263"/>
      <w:bookmarkEnd w:id="264"/>
      <w:bookmarkEnd w:id="265"/>
      <w:bookmarkEnd w:id="266"/>
      <w:bookmarkEnd w:id="267"/>
      <w:bookmarkEnd w:id="268"/>
      <w:bookmarkEnd w:id="269"/>
    </w:p>
    <w:p w14:paraId="743B5DEE">
      <w:pPr>
        <w:numPr>
          <w:ilvl w:val="0"/>
          <w:numId w:val="2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安全检查类型应包括每日巡查、常态化安全检查、特殊时期安全检查、极端天气安全检查等。</w:t>
      </w:r>
    </w:p>
    <w:p w14:paraId="4D799290">
      <w:pPr>
        <w:numPr>
          <w:ilvl w:val="0"/>
          <w:numId w:val="2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国家一级博物馆和国家二级博物馆</w:t>
      </w:r>
      <w:r>
        <w:rPr>
          <w:rFonts w:ascii="Times New Roman" w:hAnsi="Times New Roman"/>
        </w:rPr>
        <w:t>外周界巡查</w:t>
      </w:r>
      <w:r>
        <w:rPr>
          <w:rFonts w:hint="eastAsia" w:ascii="Times New Roman" w:hAnsi="Times New Roman"/>
        </w:rPr>
        <w:t>频次宜</w:t>
      </w:r>
      <w:r>
        <w:rPr>
          <w:rFonts w:ascii="Times New Roman" w:hAnsi="Times New Roman"/>
        </w:rPr>
        <w:t>不</w:t>
      </w:r>
      <w:r>
        <w:rPr>
          <w:rFonts w:hint="eastAsia" w:ascii="Times New Roman" w:hAnsi="Times New Roman"/>
        </w:rPr>
        <w:t>超过</w:t>
      </w:r>
      <w:r>
        <w:rPr>
          <w:rFonts w:ascii="Times New Roman" w:hAnsi="Times New Roman"/>
        </w:rPr>
        <w:t>2</w:t>
      </w:r>
      <w:r>
        <w:rPr>
          <w:rFonts w:hint="eastAsia" w:ascii="Times New Roman" w:hAnsi="Times New Roman"/>
        </w:rPr>
        <w:t>小时/次</w:t>
      </w:r>
      <w:r>
        <w:rPr>
          <w:rFonts w:ascii="Times New Roman" w:hAnsi="Times New Roman"/>
        </w:rPr>
        <w:t>，博物馆内部区域巡查</w:t>
      </w:r>
      <w:r>
        <w:rPr>
          <w:rFonts w:hint="eastAsia" w:ascii="Times New Roman" w:hAnsi="Times New Roman"/>
        </w:rPr>
        <w:t>频次宜</w:t>
      </w:r>
      <w:r>
        <w:rPr>
          <w:rFonts w:ascii="Times New Roman" w:hAnsi="Times New Roman"/>
        </w:rPr>
        <w:t>不</w:t>
      </w:r>
      <w:r>
        <w:rPr>
          <w:rFonts w:hint="eastAsia" w:ascii="Times New Roman" w:hAnsi="Times New Roman"/>
        </w:rPr>
        <w:t>超过</w:t>
      </w:r>
      <w:r>
        <w:rPr>
          <w:rFonts w:ascii="Times New Roman" w:hAnsi="Times New Roman"/>
        </w:rPr>
        <w:t>4</w:t>
      </w:r>
      <w:r>
        <w:rPr>
          <w:rFonts w:hint="eastAsia" w:ascii="Times New Roman" w:hAnsi="Times New Roman"/>
        </w:rPr>
        <w:t>小时/次。国家三级博物馆和未定级博物馆</w:t>
      </w:r>
      <w:r>
        <w:rPr>
          <w:rFonts w:ascii="Times New Roman" w:hAnsi="Times New Roman"/>
          <w:lang w:val="en-GB"/>
        </w:rPr>
        <w:t>应根据占地面积和重点部位分布等情况设置</w:t>
      </w:r>
      <w:r>
        <w:rPr>
          <w:rFonts w:hint="eastAsia" w:ascii="Times New Roman" w:hAnsi="Times New Roman"/>
        </w:rPr>
        <w:t>每日巡查频次</w:t>
      </w:r>
      <w:r>
        <w:rPr>
          <w:rFonts w:ascii="Times New Roman" w:hAnsi="Times New Roman"/>
        </w:rPr>
        <w:t>。</w:t>
      </w:r>
    </w:p>
    <w:p w14:paraId="279BF2EF">
      <w:pPr>
        <w:numPr>
          <w:ilvl w:val="0"/>
          <w:numId w:val="21"/>
        </w:numPr>
        <w:tabs>
          <w:tab w:val="left" w:pos="312"/>
          <w:tab w:val="left" w:pos="960"/>
          <w:tab w:val="left" w:pos="1200"/>
          <w:tab w:val="clear" w:pos="0"/>
        </w:tabs>
        <w:snapToGrid w:val="0"/>
        <w:spacing w:line="300" w:lineRule="auto"/>
        <w:rPr>
          <w:rFonts w:ascii="Times New Roman" w:hAnsi="Times New Roman"/>
        </w:rPr>
      </w:pPr>
      <w:r>
        <w:rPr>
          <w:rFonts w:hint="eastAsia" w:ascii="Times New Roman" w:hAnsi="Times New Roman"/>
        </w:rPr>
        <w:t>国家一级博物馆和国家二级博物馆每班次巡查人员不应少于2人，国家三级博物馆和未定级博物馆应根据占地面积和重点部位分布等情况配备每日巡查人员；</w:t>
      </w:r>
    </w:p>
    <w:p w14:paraId="6849407B">
      <w:pPr>
        <w:numPr>
          <w:ilvl w:val="0"/>
          <w:numId w:val="21"/>
        </w:numPr>
        <w:tabs>
          <w:tab w:val="left" w:pos="312"/>
          <w:tab w:val="left" w:pos="960"/>
          <w:tab w:val="left" w:pos="1200"/>
          <w:tab w:val="clear" w:pos="0"/>
        </w:tabs>
        <w:snapToGrid w:val="0"/>
        <w:spacing w:line="300" w:lineRule="auto"/>
        <w:rPr>
          <w:rFonts w:ascii="Times New Roman" w:hAnsi="Times New Roman"/>
        </w:rPr>
      </w:pPr>
      <w:r>
        <w:rPr>
          <w:rFonts w:hint="eastAsia" w:ascii="Times New Roman" w:hAnsi="Times New Roman"/>
        </w:rPr>
        <w:t>博物馆应为巡查人员配备适当的交通工具，巡查人员应随身佩戴必要的防卫器材及与监控中心保持联络的通讯设备</w:t>
      </w:r>
    </w:p>
    <w:p w14:paraId="097B8882">
      <w:pPr>
        <w:numPr>
          <w:ilvl w:val="0"/>
          <w:numId w:val="2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安全保卫、消防安全、文物保管、开放服务、设备设施管理等部门应定期组织开展专项检查和综合检查。</w:t>
      </w:r>
    </w:p>
    <w:p w14:paraId="6E8608B3">
      <w:pPr>
        <w:numPr>
          <w:ilvl w:val="0"/>
          <w:numId w:val="2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安全</w:t>
      </w:r>
      <w:r>
        <w:rPr>
          <w:rFonts w:ascii="Times New Roman" w:hAnsi="Times New Roman"/>
          <w:lang w:val="en-GB"/>
        </w:rPr>
        <w:t>检查中发现的</w:t>
      </w:r>
      <w:r>
        <w:rPr>
          <w:rFonts w:hint="eastAsia" w:ascii="Times New Roman" w:hAnsi="Times New Roman"/>
        </w:rPr>
        <w:t>隐患</w:t>
      </w:r>
      <w:r>
        <w:rPr>
          <w:rFonts w:ascii="Times New Roman" w:hAnsi="Times New Roman"/>
          <w:lang w:val="en-GB"/>
        </w:rPr>
        <w:t>，应当立即处理</w:t>
      </w:r>
      <w:r>
        <w:rPr>
          <w:rFonts w:hint="eastAsia" w:ascii="Times New Roman" w:hAnsi="Times New Roman"/>
          <w:lang w:val="en-GB"/>
        </w:rPr>
        <w:t>。</w:t>
      </w:r>
      <w:r>
        <w:rPr>
          <w:rFonts w:ascii="Times New Roman" w:hAnsi="Times New Roman"/>
          <w:lang w:val="en-GB"/>
        </w:rPr>
        <w:t>不能</w:t>
      </w:r>
      <w:r>
        <w:rPr>
          <w:rFonts w:hint="eastAsia" w:ascii="Times New Roman" w:hAnsi="Times New Roman"/>
        </w:rPr>
        <w:t>立即</w:t>
      </w:r>
      <w:r>
        <w:rPr>
          <w:rFonts w:ascii="Times New Roman" w:hAnsi="Times New Roman"/>
          <w:lang w:val="en-GB"/>
        </w:rPr>
        <w:t>处理的</w:t>
      </w:r>
      <w:r>
        <w:rPr>
          <w:rFonts w:hint="eastAsia" w:ascii="Times New Roman" w:hAnsi="Times New Roman"/>
        </w:rPr>
        <w:t>限期整改</w:t>
      </w:r>
      <w:r>
        <w:rPr>
          <w:rFonts w:ascii="Times New Roman" w:hAnsi="Times New Roman"/>
          <w:lang w:val="en-GB"/>
        </w:rPr>
        <w:t>，</w:t>
      </w:r>
      <w:r>
        <w:rPr>
          <w:rFonts w:hint="eastAsia" w:ascii="Times New Roman" w:hAnsi="Times New Roman"/>
        </w:rPr>
        <w:t>短期不能整改到位的</w:t>
      </w:r>
      <w:r>
        <w:rPr>
          <w:rFonts w:ascii="Times New Roman" w:hAnsi="Times New Roman"/>
          <w:lang w:val="en-GB"/>
        </w:rPr>
        <w:t>应当及时报告本单位有关负责人</w:t>
      </w:r>
      <w:r>
        <w:rPr>
          <w:rFonts w:hint="eastAsia" w:ascii="Times New Roman" w:hAnsi="Times New Roman"/>
          <w:lang w:val="en-GB"/>
        </w:rPr>
        <w:t>，</w:t>
      </w:r>
      <w:r>
        <w:rPr>
          <w:rFonts w:hint="eastAsia" w:ascii="Times New Roman" w:hAnsi="Times New Roman"/>
        </w:rPr>
        <w:t>并制定临时管控措施</w:t>
      </w:r>
      <w:r>
        <w:rPr>
          <w:rFonts w:ascii="Times New Roman" w:hAnsi="Times New Roman"/>
          <w:lang w:val="en-GB"/>
        </w:rPr>
        <w:t>。</w:t>
      </w:r>
    </w:p>
    <w:p w14:paraId="09A12842">
      <w:pPr>
        <w:numPr>
          <w:ilvl w:val="0"/>
          <w:numId w:val="21"/>
        </w:numPr>
        <w:tabs>
          <w:tab w:val="left" w:pos="312"/>
          <w:tab w:val="left" w:pos="960"/>
          <w:tab w:val="left" w:pos="1200"/>
          <w:tab w:val="clear" w:pos="0"/>
        </w:tabs>
        <w:spacing w:line="300" w:lineRule="auto"/>
        <w:rPr>
          <w:rFonts w:ascii="Times New Roman" w:hAnsi="Times New Roman"/>
          <w:szCs w:val="20"/>
        </w:rPr>
      </w:pPr>
      <w:r>
        <w:rPr>
          <w:rFonts w:ascii="Times New Roman" w:hAnsi="Times New Roman"/>
          <w:lang w:val="en-GB"/>
        </w:rPr>
        <w:t>特殊时期安全检查应在法定节假日、重大活动、重要接待任务、社会敏感期等时段开展，并符合下列要求：</w:t>
      </w:r>
    </w:p>
    <w:p w14:paraId="543C1F5B">
      <w:pPr>
        <w:pStyle w:val="37"/>
        <w:numPr>
          <w:ilvl w:val="0"/>
          <w:numId w:val="22"/>
        </w:numPr>
        <w:spacing w:line="240" w:lineRule="auto"/>
        <w:ind w:left="0" w:leftChars="0" w:firstLine="420" w:firstLineChars="200"/>
      </w:pPr>
      <w:r>
        <w:rPr>
          <w:rFonts w:hint="eastAsia"/>
        </w:rPr>
        <w:t>提高巡查频次，加强对出入口、展厅、库房、围墙周界、设备机房等重点部位的检查；</w:t>
      </w:r>
    </w:p>
    <w:p w14:paraId="4723B874">
      <w:pPr>
        <w:pStyle w:val="37"/>
        <w:numPr>
          <w:ilvl w:val="0"/>
          <w:numId w:val="22"/>
        </w:numPr>
        <w:spacing w:line="240" w:lineRule="auto"/>
        <w:ind w:left="0" w:leftChars="0" w:firstLine="420" w:firstLineChars="200"/>
      </w:pPr>
      <w:r>
        <w:rPr>
          <w:rFonts w:hint="eastAsia"/>
        </w:rPr>
        <w:t>提前制定应急预案，做好人员、物资、通讯等应急准备；</w:t>
      </w:r>
    </w:p>
    <w:p w14:paraId="461C25C0">
      <w:pPr>
        <w:pStyle w:val="37"/>
        <w:numPr>
          <w:ilvl w:val="0"/>
          <w:numId w:val="22"/>
        </w:numPr>
        <w:spacing w:line="240" w:lineRule="auto"/>
        <w:ind w:left="0" w:leftChars="0" w:firstLine="420" w:firstLineChars="200"/>
      </w:pPr>
      <w:r>
        <w:rPr>
          <w:rFonts w:hint="eastAsia"/>
        </w:rPr>
        <w:t>协调公安、消防、应急管理等外部力量，建立联动机制。</w:t>
      </w:r>
    </w:p>
    <w:p w14:paraId="2F0279CF">
      <w:pPr>
        <w:numPr>
          <w:ilvl w:val="0"/>
          <w:numId w:val="21"/>
        </w:numPr>
        <w:tabs>
          <w:tab w:val="left" w:pos="312"/>
          <w:tab w:val="left" w:pos="960"/>
          <w:tab w:val="left" w:pos="1200"/>
          <w:tab w:val="clear" w:pos="0"/>
        </w:tabs>
        <w:spacing w:line="300" w:lineRule="auto"/>
        <w:rPr>
          <w:rFonts w:ascii="Times New Roman" w:hAnsi="Times New Roman"/>
          <w:lang w:val="en-GB"/>
        </w:rPr>
      </w:pPr>
      <w:r>
        <w:rPr>
          <w:rFonts w:ascii="Times New Roman" w:hAnsi="Times New Roman"/>
          <w:lang w:val="en-GB"/>
        </w:rPr>
        <w:t>极端天气安全检查应在暴雨、大风、大雪、高温、雷电等天气预警发布后及时启动，并符合下列要求：</w:t>
      </w:r>
    </w:p>
    <w:p w14:paraId="2F23463F">
      <w:pPr>
        <w:pStyle w:val="37"/>
        <w:numPr>
          <w:ilvl w:val="0"/>
          <w:numId w:val="23"/>
        </w:numPr>
        <w:spacing w:line="240" w:lineRule="auto"/>
        <w:ind w:left="420" w:firstLine="0"/>
      </w:pPr>
      <w:r>
        <w:rPr>
          <w:rFonts w:hint="eastAsia"/>
        </w:rPr>
        <w:t>关注气象预警信息，及时调整检查计划和力量部署；</w:t>
      </w:r>
    </w:p>
    <w:p w14:paraId="1624A063">
      <w:pPr>
        <w:pStyle w:val="37"/>
        <w:numPr>
          <w:ilvl w:val="0"/>
          <w:numId w:val="23"/>
        </w:numPr>
        <w:spacing w:line="240" w:lineRule="auto"/>
        <w:ind w:left="420" w:firstLine="0"/>
      </w:pPr>
      <w:r>
        <w:rPr>
          <w:rFonts w:hint="eastAsia"/>
        </w:rPr>
        <w:t>重点检查建筑结构、屋顶、门窗、排水系统、电气线路、室外设施等易受影响的部位；</w:t>
      </w:r>
    </w:p>
    <w:p w14:paraId="6ED47930">
      <w:pPr>
        <w:pStyle w:val="37"/>
        <w:numPr>
          <w:ilvl w:val="0"/>
          <w:numId w:val="23"/>
        </w:numPr>
        <w:spacing w:line="240" w:lineRule="auto"/>
        <w:ind w:left="420" w:firstLine="0"/>
      </w:pPr>
      <w:r>
        <w:rPr>
          <w:rFonts w:hint="eastAsia"/>
        </w:rPr>
        <w:t>备足应急物资，检查防水、防雷、防漏电等措施是否有效；</w:t>
      </w:r>
    </w:p>
    <w:p w14:paraId="644C2899">
      <w:pPr>
        <w:pStyle w:val="37"/>
        <w:numPr>
          <w:ilvl w:val="0"/>
          <w:numId w:val="23"/>
        </w:numPr>
        <w:spacing w:line="240" w:lineRule="auto"/>
        <w:ind w:left="420" w:firstLine="0"/>
      </w:pPr>
      <w:r>
        <w:rPr>
          <w:rFonts w:hint="eastAsia"/>
        </w:rPr>
        <w:t>巡查时应确保人员安全，必要时暂停室外巡查。</w:t>
      </w:r>
    </w:p>
    <w:p w14:paraId="0256868C">
      <w:pPr>
        <w:numPr>
          <w:ilvl w:val="0"/>
          <w:numId w:val="21"/>
        </w:numPr>
        <w:tabs>
          <w:tab w:val="left" w:pos="312"/>
          <w:tab w:val="left" w:pos="960"/>
          <w:tab w:val="left" w:pos="1200"/>
          <w:tab w:val="clear" w:pos="0"/>
        </w:tabs>
        <w:spacing w:line="300" w:lineRule="auto"/>
        <w:rPr>
          <w:rFonts w:ascii="Times New Roman" w:hAnsi="Times New Roman"/>
        </w:rPr>
      </w:pPr>
      <w:r>
        <w:rPr>
          <w:rFonts w:hint="eastAsia" w:ascii="Times New Roman" w:hAnsi="Times New Roman"/>
          <w:lang w:val="en-GB"/>
        </w:rPr>
        <w:t>应对安全检查中发现的问题进行复查，对已完成的整改措施进行核查和评估，</w:t>
      </w:r>
      <w:r>
        <w:rPr>
          <w:rFonts w:hint="eastAsia" w:ascii="Times New Roman" w:hAnsi="Times New Roman"/>
        </w:rPr>
        <w:t>并对检查质量、检察人员履职情况开展督导，持续改进检查工作效果。</w:t>
      </w:r>
    </w:p>
    <w:p w14:paraId="3E004E2E">
      <w:pPr>
        <w:pStyle w:val="36"/>
        <w:spacing w:before="120" w:after="120"/>
        <w:rPr>
          <w:rFonts w:ascii="Times New Roman"/>
        </w:rPr>
      </w:pPr>
      <w:bookmarkStart w:id="270" w:name="_Toc29797"/>
      <w:bookmarkStart w:id="271" w:name="_Toc7404"/>
      <w:bookmarkStart w:id="272" w:name="_Toc5631"/>
      <w:bookmarkStart w:id="273" w:name="_Toc32696"/>
      <w:bookmarkStart w:id="274" w:name="_Toc4946"/>
      <w:bookmarkStart w:id="275" w:name="_Toc21087"/>
      <w:bookmarkStart w:id="276" w:name="_Toc13664"/>
      <w:bookmarkStart w:id="277" w:name="_Toc486"/>
      <w:r>
        <w:rPr>
          <w:rFonts w:hint="eastAsia" w:ascii="Times New Roman"/>
        </w:rPr>
        <w:t>值班值守管理</w:t>
      </w:r>
      <w:bookmarkEnd w:id="270"/>
      <w:bookmarkEnd w:id="271"/>
      <w:bookmarkEnd w:id="272"/>
      <w:bookmarkEnd w:id="273"/>
      <w:bookmarkEnd w:id="274"/>
      <w:bookmarkEnd w:id="275"/>
      <w:bookmarkEnd w:id="276"/>
      <w:bookmarkEnd w:id="277"/>
    </w:p>
    <w:p w14:paraId="45619D88">
      <w:pPr>
        <w:numPr>
          <w:ilvl w:val="0"/>
          <w:numId w:val="24"/>
        </w:numPr>
        <w:tabs>
          <w:tab w:val="left" w:pos="312"/>
          <w:tab w:val="left" w:pos="960"/>
          <w:tab w:val="left" w:pos="1200"/>
          <w:tab w:val="clear" w:pos="0"/>
        </w:tabs>
        <w:adjustRightInd/>
        <w:spacing w:line="300" w:lineRule="auto"/>
        <w:rPr>
          <w:rFonts w:ascii="Times New Roman" w:hAnsi="Times New Roman"/>
          <w:lang w:val="en-GB"/>
        </w:rPr>
      </w:pPr>
      <w:r>
        <w:rPr>
          <w:rFonts w:ascii="Times New Roman" w:hAnsi="Times New Roman"/>
          <w:lang w:val="en-GB" w:bidi="ar"/>
        </w:rPr>
        <w:t>应</w:t>
      </w:r>
      <w:r>
        <w:rPr>
          <w:rFonts w:hint="eastAsia" w:ascii="Times New Roman" w:hAnsi="Times New Roman"/>
          <w:lang w:bidi="ar"/>
        </w:rPr>
        <w:t>确定开放期间及闭馆后值班值守岗位，并</w:t>
      </w:r>
      <w:r>
        <w:rPr>
          <w:rFonts w:ascii="Times New Roman" w:hAnsi="Times New Roman"/>
          <w:lang w:val="en-GB"/>
        </w:rPr>
        <w:t>实行领导带班制度。</w:t>
      </w:r>
    </w:p>
    <w:p w14:paraId="4ED9A15D">
      <w:pPr>
        <w:numPr>
          <w:ilvl w:val="0"/>
          <w:numId w:val="24"/>
        </w:numPr>
        <w:tabs>
          <w:tab w:val="left" w:pos="312"/>
          <w:tab w:val="left" w:pos="960"/>
          <w:tab w:val="left" w:pos="1200"/>
          <w:tab w:val="clear" w:pos="0"/>
        </w:tabs>
        <w:adjustRightInd/>
        <w:spacing w:line="300" w:lineRule="auto"/>
        <w:rPr>
          <w:rFonts w:ascii="Times New Roman" w:hAnsi="Times New Roman"/>
          <w:lang w:val="en-GB"/>
        </w:rPr>
      </w:pPr>
      <w:r>
        <w:rPr>
          <w:rFonts w:ascii="Times New Roman" w:hAnsi="Times New Roman"/>
          <w:lang w:val="en-GB"/>
        </w:rPr>
        <w:t>藏品出入库、展品布撤展、文物鉴定、展品点交等涉及文物操作的活动期间，应安排安全保卫人员负责现场防护值守。</w:t>
      </w:r>
    </w:p>
    <w:p w14:paraId="7F2FCAFC">
      <w:pPr>
        <w:numPr>
          <w:ilvl w:val="0"/>
          <w:numId w:val="24"/>
        </w:numPr>
        <w:tabs>
          <w:tab w:val="left" w:pos="312"/>
          <w:tab w:val="left" w:pos="960"/>
          <w:tab w:val="left" w:pos="1200"/>
          <w:tab w:val="clear" w:pos="0"/>
        </w:tabs>
        <w:adjustRightInd/>
        <w:spacing w:line="300" w:lineRule="auto"/>
        <w:rPr>
          <w:rFonts w:ascii="Times New Roman" w:hAnsi="Times New Roman"/>
          <w:lang w:val="en-GB"/>
        </w:rPr>
      </w:pPr>
      <w:r>
        <w:rPr>
          <w:rFonts w:ascii="Times New Roman" w:hAnsi="Times New Roman"/>
          <w:lang w:val="en-GB"/>
        </w:rPr>
        <w:t>旅游旺季、重大活动举办期间、</w:t>
      </w:r>
      <w:r>
        <w:rPr>
          <w:rFonts w:hint="eastAsia" w:ascii="Times New Roman" w:hAnsi="Times New Roman"/>
        </w:rPr>
        <w:t>极端天气</w:t>
      </w:r>
      <w:r>
        <w:rPr>
          <w:rFonts w:ascii="Times New Roman" w:hAnsi="Times New Roman"/>
          <w:lang w:val="en-GB"/>
        </w:rPr>
        <w:t>等特殊时段，应提前制定专项值班值守方案，增加</w:t>
      </w:r>
      <w:r>
        <w:rPr>
          <w:rFonts w:hint="eastAsia" w:ascii="Times New Roman" w:hAnsi="Times New Roman"/>
        </w:rPr>
        <w:t>值班值守</w:t>
      </w:r>
      <w:r>
        <w:rPr>
          <w:rFonts w:ascii="Times New Roman" w:hAnsi="Times New Roman"/>
          <w:lang w:val="en-GB"/>
        </w:rPr>
        <w:t>力量及巡查频次，预留应急备勤力量。</w:t>
      </w:r>
    </w:p>
    <w:p w14:paraId="2E4BEB88">
      <w:pPr>
        <w:numPr>
          <w:ilvl w:val="0"/>
          <w:numId w:val="24"/>
        </w:numPr>
        <w:tabs>
          <w:tab w:val="left" w:pos="312"/>
          <w:tab w:val="left" w:pos="960"/>
          <w:tab w:val="left" w:pos="1200"/>
          <w:tab w:val="clear" w:pos="0"/>
        </w:tabs>
        <w:adjustRightInd/>
        <w:spacing w:line="300" w:lineRule="auto"/>
        <w:rPr>
          <w:rFonts w:ascii="Times New Roman" w:hAnsi="Times New Roman"/>
          <w:lang w:val="en-GB"/>
        </w:rPr>
      </w:pPr>
      <w:r>
        <w:rPr>
          <w:rFonts w:hint="eastAsia" w:ascii="Times New Roman" w:hAnsi="Times New Roman"/>
        </w:rPr>
        <w:t>值班值守人员应填写值班日志，并履行交接班程序。</w:t>
      </w:r>
    </w:p>
    <w:bookmarkEnd w:id="250"/>
    <w:bookmarkEnd w:id="251"/>
    <w:bookmarkEnd w:id="252"/>
    <w:bookmarkEnd w:id="253"/>
    <w:p w14:paraId="22A98C29">
      <w:pPr>
        <w:pStyle w:val="36"/>
        <w:spacing w:before="120" w:after="120"/>
        <w:rPr>
          <w:rFonts w:ascii="Times New Roman"/>
        </w:rPr>
      </w:pPr>
      <w:bookmarkStart w:id="278" w:name="_Toc9587"/>
      <w:bookmarkStart w:id="279" w:name="_Toc25218"/>
      <w:bookmarkStart w:id="280" w:name="_Toc1851"/>
      <w:bookmarkStart w:id="281" w:name="_Toc26985"/>
      <w:bookmarkStart w:id="282" w:name="_Toc30110"/>
      <w:bookmarkStart w:id="283" w:name="_Toc12363"/>
      <w:bookmarkStart w:id="284" w:name="_Toc260"/>
      <w:bookmarkStart w:id="285" w:name="_Toc10942"/>
      <w:bookmarkStart w:id="286" w:name="_Toc12389"/>
      <w:bookmarkStart w:id="287" w:name="_Toc23492"/>
      <w:bookmarkStart w:id="288" w:name="_Toc23276"/>
      <w:bookmarkStart w:id="289" w:name="_Toc30926"/>
      <w:r>
        <w:rPr>
          <w:rFonts w:hint="eastAsia" w:ascii="Times New Roman"/>
        </w:rPr>
        <w:t>钥匙和门锁管理</w:t>
      </w:r>
      <w:bookmarkEnd w:id="278"/>
      <w:bookmarkEnd w:id="279"/>
      <w:bookmarkEnd w:id="280"/>
      <w:bookmarkEnd w:id="281"/>
      <w:bookmarkEnd w:id="282"/>
      <w:bookmarkEnd w:id="283"/>
      <w:bookmarkEnd w:id="284"/>
      <w:bookmarkEnd w:id="285"/>
      <w:bookmarkEnd w:id="286"/>
      <w:bookmarkEnd w:id="287"/>
      <w:bookmarkEnd w:id="288"/>
      <w:bookmarkEnd w:id="289"/>
      <w:r>
        <w:rPr>
          <w:rFonts w:hint="eastAsia" w:ascii="Times New Roman"/>
        </w:rPr>
        <w:tab/>
      </w:r>
    </w:p>
    <w:p w14:paraId="3FCECC8F">
      <w:pPr>
        <w:numPr>
          <w:ilvl w:val="0"/>
          <w:numId w:val="25"/>
        </w:numPr>
        <w:tabs>
          <w:tab w:val="left" w:pos="312"/>
          <w:tab w:val="left" w:pos="960"/>
          <w:tab w:val="left" w:pos="1200"/>
          <w:tab w:val="clear" w:pos="0"/>
        </w:tabs>
        <w:spacing w:line="300" w:lineRule="auto"/>
        <w:rPr>
          <w:rFonts w:ascii="Times New Roman" w:hAnsi="Times New Roman"/>
          <w:lang w:val="en-GB"/>
        </w:rPr>
      </w:pPr>
      <w:r>
        <w:rPr>
          <w:rFonts w:ascii="Times New Roman" w:hAnsi="Times New Roman"/>
          <w:lang w:val="en-GB"/>
        </w:rPr>
        <w:t>应按照重要程度</w:t>
      </w:r>
      <w:r>
        <w:rPr>
          <w:rFonts w:hint="eastAsia" w:ascii="Times New Roman" w:hAnsi="Times New Roman"/>
          <w:lang w:val="en-GB"/>
        </w:rPr>
        <w:t>对门锁和钥匙实施</w:t>
      </w:r>
      <w:r>
        <w:rPr>
          <w:rFonts w:ascii="Times New Roman" w:hAnsi="Times New Roman"/>
          <w:lang w:val="en-GB"/>
        </w:rPr>
        <w:t>分级管理</w:t>
      </w:r>
      <w:r>
        <w:rPr>
          <w:rFonts w:hint="eastAsia" w:ascii="Times New Roman" w:hAnsi="Times New Roman"/>
          <w:lang w:val="en-GB"/>
        </w:rPr>
        <w:t>。</w:t>
      </w:r>
    </w:p>
    <w:p w14:paraId="19B5EBBD">
      <w:pPr>
        <w:numPr>
          <w:ilvl w:val="0"/>
          <w:numId w:val="25"/>
        </w:numPr>
        <w:tabs>
          <w:tab w:val="left" w:pos="312"/>
          <w:tab w:val="left" w:pos="960"/>
          <w:tab w:val="left" w:pos="1200"/>
          <w:tab w:val="clear" w:pos="0"/>
        </w:tabs>
        <w:spacing w:line="300" w:lineRule="auto"/>
        <w:rPr>
          <w:rFonts w:ascii="Times New Roman" w:hAnsi="Times New Roman"/>
          <w:lang w:val="en-GB"/>
        </w:rPr>
      </w:pPr>
      <w:r>
        <w:rPr>
          <w:rFonts w:ascii="Times New Roman" w:hAnsi="Times New Roman"/>
          <w:lang w:val="en-GB"/>
        </w:rPr>
        <w:t>主要出入口、开放场馆</w:t>
      </w:r>
      <w:r>
        <w:rPr>
          <w:rFonts w:hint="eastAsia" w:ascii="Times New Roman" w:hAnsi="Times New Roman"/>
          <w:lang w:val="en-GB"/>
        </w:rPr>
        <w:t>、</w:t>
      </w:r>
      <w:r>
        <w:rPr>
          <w:rFonts w:ascii="Times New Roman" w:hAnsi="Times New Roman"/>
          <w:lang w:val="en-GB"/>
        </w:rPr>
        <w:t>库房等重点部位的钥匙</w:t>
      </w:r>
      <w:r>
        <w:rPr>
          <w:rFonts w:hint="eastAsia" w:ascii="Times New Roman" w:hAnsi="Times New Roman"/>
          <w:lang w:val="en-GB"/>
        </w:rPr>
        <w:t>，</w:t>
      </w:r>
      <w:r>
        <w:rPr>
          <w:rFonts w:ascii="Times New Roman" w:hAnsi="Times New Roman"/>
          <w:lang w:val="en-GB"/>
        </w:rPr>
        <w:t>应</w:t>
      </w:r>
      <w:r>
        <w:rPr>
          <w:rFonts w:hint="eastAsia" w:ascii="Times New Roman" w:hAnsi="Times New Roman"/>
          <w:lang w:val="en-GB"/>
        </w:rPr>
        <w:t>指定</w:t>
      </w:r>
      <w:r>
        <w:rPr>
          <w:rFonts w:ascii="Times New Roman" w:hAnsi="Times New Roman"/>
          <w:lang w:val="en-GB"/>
        </w:rPr>
        <w:t>专人负责管理，并存放于固定场所。</w:t>
      </w:r>
    </w:p>
    <w:p w14:paraId="3386466C">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文物库房应</w:t>
      </w:r>
      <w:r>
        <w:rPr>
          <w:rFonts w:hint="eastAsia" w:ascii="Times New Roman" w:hAnsi="Times New Roman"/>
          <w:lang w:val="en-GB"/>
        </w:rPr>
        <w:t>实行“</w:t>
      </w:r>
      <w:r>
        <w:rPr>
          <w:rFonts w:ascii="Times New Roman" w:hAnsi="Times New Roman"/>
          <w:lang w:val="en-GB"/>
        </w:rPr>
        <w:t>双人双锁、双人出入库</w:t>
      </w:r>
      <w:r>
        <w:rPr>
          <w:rFonts w:hint="eastAsia" w:ascii="Times New Roman" w:hAnsi="Times New Roman"/>
          <w:lang w:val="en-GB"/>
        </w:rPr>
        <w:t>”管理。</w:t>
      </w:r>
    </w:p>
    <w:p w14:paraId="2A1C85C8">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展厅、库房等文物存放场所的钥匙，应指定授权使用人员名单并备案。</w:t>
      </w:r>
      <w:bookmarkStart w:id="290" w:name="_Toc11015"/>
      <w:bookmarkStart w:id="291" w:name="_Toc11866"/>
    </w:p>
    <w:p w14:paraId="244737A2">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应制定门锁维保、更换规则。</w:t>
      </w:r>
      <w:r>
        <w:rPr>
          <w:rFonts w:hint="eastAsia" w:ascii="Times New Roman" w:hAnsi="Times New Roman"/>
        </w:rPr>
        <w:t>电子锁</w:t>
      </w:r>
      <w:r>
        <w:rPr>
          <w:rFonts w:hint="eastAsia" w:ascii="Times New Roman" w:hAnsi="Times New Roman"/>
          <w:lang w:val="en-GB"/>
        </w:rPr>
        <w:t>密码</w:t>
      </w:r>
      <w:r>
        <w:rPr>
          <w:rFonts w:hint="eastAsia" w:ascii="Times New Roman" w:hAnsi="Times New Roman"/>
        </w:rPr>
        <w:t>应</w:t>
      </w:r>
      <w:r>
        <w:rPr>
          <w:rFonts w:hint="eastAsia" w:ascii="Times New Roman" w:hAnsi="Times New Roman"/>
          <w:lang w:val="en-GB"/>
        </w:rPr>
        <w:t>定期更新。钥匙或门锁发生故障、需新增锁具或更换锁芯时，应事先报安全保卫部门</w:t>
      </w:r>
      <w:r>
        <w:rPr>
          <w:rFonts w:hint="eastAsia" w:ascii="Times New Roman" w:hAnsi="Times New Roman"/>
        </w:rPr>
        <w:t>和</w:t>
      </w:r>
      <w:r>
        <w:rPr>
          <w:rFonts w:hint="eastAsia" w:ascii="Times New Roman" w:hAnsi="Times New Roman"/>
          <w:lang w:val="en-GB"/>
        </w:rPr>
        <w:t>门锁管理部门审批。</w:t>
      </w:r>
      <w:bookmarkEnd w:id="290"/>
      <w:bookmarkEnd w:id="291"/>
      <w:bookmarkStart w:id="292" w:name="_Toc30986"/>
      <w:bookmarkStart w:id="293" w:name="_Toc13901"/>
    </w:p>
    <w:p w14:paraId="05D8B10F">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钥匙丢失时，当事人应立即向安全保卫部门报告。安全保卫部门应及时核实丢失情况，启动应急处置流程。</w:t>
      </w:r>
      <w:bookmarkEnd w:id="292"/>
      <w:bookmarkEnd w:id="293"/>
      <w:bookmarkStart w:id="294" w:name="_Toc3254"/>
      <w:bookmarkStart w:id="295" w:name="_Toc25962"/>
    </w:p>
    <w:p w14:paraId="0998F24F">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持有钥匙的人员离职或岗位变动时，应</w:t>
      </w:r>
      <w:r>
        <w:rPr>
          <w:rFonts w:hint="eastAsia" w:ascii="Times New Roman" w:hAnsi="Times New Roman"/>
          <w:lang w:bidi="ar"/>
        </w:rPr>
        <w:t>将所持全部钥匙交回安全保卫部门</w:t>
      </w:r>
      <w:r>
        <w:rPr>
          <w:rFonts w:hint="eastAsia" w:ascii="Times New Roman" w:hAnsi="Times New Roman"/>
        </w:rPr>
        <w:t>，</w:t>
      </w:r>
      <w:r>
        <w:rPr>
          <w:rFonts w:hint="eastAsia" w:ascii="Times New Roman" w:hAnsi="Times New Roman"/>
          <w:lang w:bidi="ar"/>
        </w:rPr>
        <w:t>双方核对钥匙数量、状态后书面记录交接时间、钥匙信息</w:t>
      </w:r>
      <w:r>
        <w:rPr>
          <w:rFonts w:hint="eastAsia" w:ascii="Times New Roman" w:hAnsi="Times New Roman"/>
        </w:rPr>
        <w:t>。</w:t>
      </w:r>
    </w:p>
    <w:p w14:paraId="3999559E">
      <w:pPr>
        <w:numPr>
          <w:ilvl w:val="0"/>
          <w:numId w:val="25"/>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安全</w:t>
      </w:r>
      <w:r>
        <w:rPr>
          <w:rFonts w:hint="eastAsia" w:ascii="Times New Roman" w:hAnsi="Times New Roman"/>
          <w:lang w:val="en-GB"/>
        </w:rPr>
        <w:t>保卫</w:t>
      </w:r>
      <w:r>
        <w:rPr>
          <w:rFonts w:hint="eastAsia" w:ascii="Times New Roman" w:hAnsi="Times New Roman"/>
        </w:rPr>
        <w:t>人员</w:t>
      </w:r>
      <w:r>
        <w:rPr>
          <w:rFonts w:hint="eastAsia" w:ascii="Times New Roman" w:hAnsi="Times New Roman"/>
          <w:lang w:val="en-GB"/>
        </w:rPr>
        <w:t>因特殊情况需在夜间领取钥匙进入封闭区域时，应履行审批程序，</w:t>
      </w:r>
      <w:r>
        <w:rPr>
          <w:rFonts w:hint="eastAsia" w:ascii="Times New Roman" w:hAnsi="Times New Roman"/>
          <w:lang w:bidi="ar"/>
        </w:rPr>
        <w:t>使用完毕后即时归还</w:t>
      </w:r>
      <w:r>
        <w:rPr>
          <w:rFonts w:hint="eastAsia" w:ascii="Times New Roman" w:hAnsi="Times New Roman"/>
          <w:lang w:val="en-GB"/>
        </w:rPr>
        <w:t>。</w:t>
      </w:r>
      <w:bookmarkEnd w:id="294"/>
      <w:bookmarkEnd w:id="295"/>
    </w:p>
    <w:p w14:paraId="5FCE60A0">
      <w:pPr>
        <w:pStyle w:val="36"/>
        <w:spacing w:before="120" w:after="120"/>
        <w:rPr>
          <w:rFonts w:ascii="Times New Roman"/>
        </w:rPr>
      </w:pPr>
      <w:bookmarkStart w:id="296" w:name="_Toc13590"/>
      <w:bookmarkStart w:id="297" w:name="_Toc16857"/>
      <w:bookmarkStart w:id="298" w:name="_Toc5067"/>
      <w:bookmarkStart w:id="299" w:name="_Toc20254"/>
      <w:bookmarkStart w:id="300" w:name="_Toc12855"/>
      <w:bookmarkStart w:id="301" w:name="_Toc23701"/>
      <w:bookmarkStart w:id="302" w:name="_Toc26528"/>
      <w:bookmarkStart w:id="303" w:name="_Toc907"/>
      <w:bookmarkStart w:id="304" w:name="_Toc26095"/>
      <w:bookmarkStart w:id="305" w:name="_Toc18481"/>
      <w:bookmarkStart w:id="306" w:name="_Toc2997"/>
      <w:bookmarkStart w:id="307" w:name="_Toc25731"/>
      <w:r>
        <w:rPr>
          <w:rFonts w:hint="eastAsia" w:ascii="Times New Roman"/>
        </w:rPr>
        <w:t>证件管理</w:t>
      </w:r>
      <w:bookmarkEnd w:id="296"/>
      <w:bookmarkEnd w:id="297"/>
      <w:bookmarkEnd w:id="298"/>
      <w:bookmarkEnd w:id="299"/>
      <w:bookmarkEnd w:id="300"/>
      <w:bookmarkEnd w:id="301"/>
      <w:bookmarkEnd w:id="302"/>
      <w:bookmarkEnd w:id="303"/>
      <w:bookmarkEnd w:id="304"/>
      <w:bookmarkEnd w:id="305"/>
      <w:bookmarkEnd w:id="306"/>
      <w:bookmarkEnd w:id="307"/>
    </w:p>
    <w:p w14:paraId="0E89F9DE">
      <w:pPr>
        <w:numPr>
          <w:ilvl w:val="0"/>
          <w:numId w:val="26"/>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应指定专门部门负责</w:t>
      </w:r>
      <w:r>
        <w:rPr>
          <w:rFonts w:ascii="Times New Roman" w:hAnsi="Times New Roman"/>
          <w:lang w:val="en-GB"/>
        </w:rPr>
        <w:t>人员、车辆证件</w:t>
      </w:r>
      <w:r>
        <w:rPr>
          <w:rFonts w:hint="eastAsia" w:ascii="Times New Roman" w:hAnsi="Times New Roman"/>
          <w:lang w:val="en-GB"/>
        </w:rPr>
        <w:t>的</w:t>
      </w:r>
      <w:r>
        <w:rPr>
          <w:rFonts w:ascii="Times New Roman" w:hAnsi="Times New Roman"/>
          <w:lang w:val="en-GB"/>
        </w:rPr>
        <w:t>制作、发放</w:t>
      </w:r>
      <w:r>
        <w:rPr>
          <w:rFonts w:hint="eastAsia" w:ascii="Times New Roman" w:hAnsi="Times New Roman"/>
          <w:lang w:val="en-GB"/>
        </w:rPr>
        <w:t>与</w:t>
      </w:r>
      <w:r>
        <w:rPr>
          <w:rFonts w:ascii="Times New Roman" w:hAnsi="Times New Roman"/>
          <w:lang w:val="en-GB"/>
        </w:rPr>
        <w:t>回收</w:t>
      </w:r>
      <w:r>
        <w:rPr>
          <w:rFonts w:hint="eastAsia" w:ascii="Times New Roman" w:hAnsi="Times New Roman"/>
          <w:lang w:val="en-GB"/>
        </w:rPr>
        <w:t>工作。</w:t>
      </w:r>
      <w:r>
        <w:rPr>
          <w:rFonts w:ascii="Times New Roman" w:hAnsi="Times New Roman"/>
          <w:lang w:val="en-GB"/>
        </w:rPr>
        <w:t>不同类型人员的证件应通过颜色、样式等</w:t>
      </w:r>
      <w:r>
        <w:rPr>
          <w:rFonts w:hint="eastAsia" w:ascii="Times New Roman" w:hAnsi="Times New Roman"/>
          <w:lang w:val="en-GB"/>
        </w:rPr>
        <w:t>特征</w:t>
      </w:r>
      <w:r>
        <w:rPr>
          <w:rFonts w:ascii="Times New Roman" w:hAnsi="Times New Roman"/>
          <w:lang w:val="en-GB"/>
        </w:rPr>
        <w:t>进行区分。</w:t>
      </w:r>
    </w:p>
    <w:p w14:paraId="639C1588">
      <w:pPr>
        <w:numPr>
          <w:ilvl w:val="0"/>
          <w:numId w:val="26"/>
        </w:numPr>
        <w:tabs>
          <w:tab w:val="left" w:pos="312"/>
          <w:tab w:val="left" w:pos="960"/>
          <w:tab w:val="left" w:pos="1200"/>
          <w:tab w:val="clear" w:pos="0"/>
        </w:tabs>
        <w:spacing w:line="300" w:lineRule="auto"/>
        <w:rPr>
          <w:rFonts w:ascii="Times New Roman" w:hAnsi="Times New Roman"/>
          <w:lang w:val="en-GB"/>
        </w:rPr>
      </w:pPr>
      <w:r>
        <w:rPr>
          <w:rFonts w:ascii="Times New Roman" w:hAnsi="Times New Roman"/>
          <w:lang w:val="en-GB"/>
        </w:rPr>
        <w:t>应建立证件作废、回收、更新</w:t>
      </w:r>
      <w:r>
        <w:rPr>
          <w:rFonts w:hint="eastAsia" w:ascii="Times New Roman" w:hAnsi="Times New Roman"/>
          <w:lang w:val="en-GB"/>
        </w:rPr>
        <w:t>管理</w:t>
      </w:r>
      <w:r>
        <w:rPr>
          <w:rFonts w:ascii="Times New Roman" w:hAnsi="Times New Roman"/>
          <w:lang w:val="en-GB"/>
        </w:rPr>
        <w:t>机制，</w:t>
      </w:r>
      <w:r>
        <w:rPr>
          <w:rFonts w:hint="eastAsia" w:ascii="Times New Roman" w:hAnsi="Times New Roman"/>
        </w:rPr>
        <w:t>设置证件有效期</w:t>
      </w:r>
      <w:r>
        <w:rPr>
          <w:rFonts w:hint="eastAsia" w:ascii="Times New Roman" w:hAnsi="Times New Roman"/>
          <w:lang w:val="en-GB"/>
        </w:rPr>
        <w:t>。证件</w:t>
      </w:r>
      <w:r>
        <w:rPr>
          <w:rFonts w:hint="eastAsia" w:ascii="Times New Roman" w:hAnsi="Times New Roman"/>
        </w:rPr>
        <w:t>有效期应</w:t>
      </w:r>
      <w:r>
        <w:rPr>
          <w:rFonts w:ascii="Times New Roman" w:hAnsi="Times New Roman"/>
          <w:lang w:val="en-GB"/>
        </w:rPr>
        <w:t>与</w:t>
      </w:r>
      <w:r>
        <w:rPr>
          <w:rFonts w:hint="eastAsia" w:ascii="Times New Roman" w:hAnsi="Times New Roman"/>
          <w:lang w:val="en-GB"/>
        </w:rPr>
        <w:t>持证</w:t>
      </w:r>
      <w:r>
        <w:rPr>
          <w:rFonts w:ascii="Times New Roman" w:hAnsi="Times New Roman"/>
          <w:lang w:val="en-GB"/>
        </w:rPr>
        <w:t>人员</w:t>
      </w:r>
      <w:r>
        <w:rPr>
          <w:rFonts w:hint="eastAsia" w:ascii="Times New Roman" w:hAnsi="Times New Roman"/>
          <w:lang w:val="en-GB"/>
        </w:rPr>
        <w:t>的</w:t>
      </w:r>
      <w:r>
        <w:rPr>
          <w:rFonts w:ascii="Times New Roman" w:hAnsi="Times New Roman"/>
          <w:lang w:val="en-GB"/>
        </w:rPr>
        <w:t>聘用</w:t>
      </w:r>
      <w:r>
        <w:rPr>
          <w:rFonts w:hint="eastAsia" w:ascii="Times New Roman" w:hAnsi="Times New Roman"/>
          <w:lang w:val="en-GB"/>
        </w:rPr>
        <w:t>期限</w:t>
      </w:r>
      <w:r>
        <w:rPr>
          <w:rFonts w:ascii="Times New Roman" w:hAnsi="Times New Roman"/>
          <w:lang w:val="en-GB"/>
        </w:rPr>
        <w:t>、合同履行</w:t>
      </w:r>
      <w:r>
        <w:rPr>
          <w:rFonts w:hint="eastAsia" w:ascii="Times New Roman" w:hAnsi="Times New Roman"/>
          <w:lang w:val="en-GB"/>
        </w:rPr>
        <w:t>周期</w:t>
      </w:r>
      <w:r>
        <w:rPr>
          <w:rFonts w:ascii="Times New Roman" w:hAnsi="Times New Roman"/>
          <w:lang w:val="en-GB"/>
        </w:rPr>
        <w:t>、工程施工</w:t>
      </w:r>
      <w:r>
        <w:rPr>
          <w:rFonts w:hint="eastAsia" w:ascii="Times New Roman" w:hAnsi="Times New Roman"/>
          <w:lang w:val="en-GB"/>
        </w:rPr>
        <w:t>工期</w:t>
      </w:r>
      <w:r>
        <w:rPr>
          <w:rFonts w:ascii="Times New Roman" w:hAnsi="Times New Roman"/>
          <w:lang w:val="en-GB"/>
        </w:rPr>
        <w:t>等</w:t>
      </w:r>
      <w:r>
        <w:rPr>
          <w:rFonts w:hint="eastAsia" w:ascii="Times New Roman" w:hAnsi="Times New Roman"/>
          <w:lang w:val="en-GB"/>
        </w:rPr>
        <w:t>工作时限</w:t>
      </w:r>
      <w:r>
        <w:rPr>
          <w:rFonts w:ascii="Times New Roman" w:hAnsi="Times New Roman"/>
          <w:lang w:val="en-GB"/>
        </w:rPr>
        <w:t>保持一致。</w:t>
      </w:r>
    </w:p>
    <w:p w14:paraId="71C3F2CE">
      <w:pPr>
        <w:numPr>
          <w:ilvl w:val="0"/>
          <w:numId w:val="26"/>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当</w:t>
      </w:r>
      <w:r>
        <w:rPr>
          <w:rFonts w:ascii="Times New Roman" w:hAnsi="Times New Roman"/>
          <w:lang w:val="en-GB"/>
        </w:rPr>
        <w:t>证件</w:t>
      </w:r>
      <w:r>
        <w:rPr>
          <w:rFonts w:hint="eastAsia" w:ascii="Times New Roman" w:hAnsi="Times New Roman"/>
          <w:lang w:val="en-GB"/>
        </w:rPr>
        <w:t>采用</w:t>
      </w:r>
      <w:r>
        <w:rPr>
          <w:rFonts w:hint="eastAsia" w:ascii="Times New Roman" w:hAnsi="Times New Roman" w:cs="宋体"/>
          <w:lang w:val="en-GB"/>
        </w:rPr>
        <w:t>“</w:t>
      </w:r>
      <w:r>
        <w:rPr>
          <w:rFonts w:ascii="Times New Roman" w:hAnsi="Times New Roman"/>
          <w:lang w:val="en-GB"/>
        </w:rPr>
        <w:t>一卡通</w:t>
      </w:r>
      <w:r>
        <w:rPr>
          <w:rFonts w:hint="eastAsia" w:ascii="Times New Roman" w:hAnsi="Times New Roman" w:cs="宋体"/>
          <w:lang w:val="en-GB"/>
        </w:rPr>
        <w:t>”</w:t>
      </w:r>
      <w:r>
        <w:rPr>
          <w:rFonts w:ascii="Times New Roman" w:hAnsi="Times New Roman"/>
          <w:lang w:val="en-GB"/>
        </w:rPr>
        <w:t>模式应用时，证件内置权限与人员实际</w:t>
      </w:r>
      <w:r>
        <w:rPr>
          <w:rFonts w:hint="eastAsia" w:ascii="Times New Roman" w:hAnsi="Times New Roman"/>
          <w:lang w:val="en-GB"/>
        </w:rPr>
        <w:t>履职</w:t>
      </w:r>
      <w:r>
        <w:rPr>
          <w:rFonts w:ascii="Times New Roman" w:hAnsi="Times New Roman"/>
          <w:lang w:val="en-GB"/>
        </w:rPr>
        <w:t>权限</w:t>
      </w:r>
      <w:r>
        <w:rPr>
          <w:rFonts w:hint="eastAsia" w:ascii="Times New Roman" w:hAnsi="Times New Roman"/>
          <w:lang w:val="en-GB"/>
        </w:rPr>
        <w:t>保持</w:t>
      </w:r>
      <w:r>
        <w:rPr>
          <w:rFonts w:ascii="Times New Roman" w:hAnsi="Times New Roman"/>
          <w:lang w:val="en-GB"/>
        </w:rPr>
        <w:t>实时一致。</w:t>
      </w:r>
    </w:p>
    <w:p w14:paraId="60226256">
      <w:pPr>
        <w:pStyle w:val="36"/>
        <w:spacing w:before="120" w:after="120"/>
        <w:rPr>
          <w:rFonts w:ascii="Times New Roman"/>
        </w:rPr>
      </w:pPr>
      <w:bookmarkStart w:id="308" w:name="_Toc10539"/>
      <w:bookmarkStart w:id="309" w:name="_Toc25202"/>
      <w:bookmarkStart w:id="310" w:name="_Toc21442"/>
      <w:bookmarkStart w:id="311" w:name="_Toc28132"/>
      <w:bookmarkStart w:id="312" w:name="_Toc11461"/>
      <w:bookmarkStart w:id="313" w:name="_Toc11743"/>
      <w:bookmarkStart w:id="314" w:name="_Toc10368"/>
      <w:bookmarkStart w:id="315" w:name="_Toc29811"/>
      <w:bookmarkStart w:id="316" w:name="_Toc18639"/>
      <w:bookmarkStart w:id="317" w:name="_Toc16637"/>
      <w:bookmarkStart w:id="318" w:name="_Toc10362"/>
      <w:bookmarkStart w:id="319" w:name="_Toc23010"/>
      <w:bookmarkStart w:id="320" w:name="_Toc5472"/>
      <w:r>
        <w:rPr>
          <w:rFonts w:hint="eastAsia" w:ascii="Times New Roman"/>
        </w:rPr>
        <w:t>电子防范系统管理</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6D914276">
      <w:pPr>
        <w:numPr>
          <w:ilvl w:val="0"/>
          <w:numId w:val="27"/>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电子防范系统</w:t>
      </w:r>
      <w:r>
        <w:rPr>
          <w:rFonts w:hint="eastAsia" w:ascii="Times New Roman" w:hAnsi="Times New Roman"/>
        </w:rPr>
        <w:t>应按照</w:t>
      </w:r>
      <w:r>
        <w:rPr>
          <w:rFonts w:hint="eastAsia" w:ascii="Times New Roman" w:hAnsi="Times New Roman"/>
          <w:lang w:val="en-GB"/>
        </w:rPr>
        <w:t>“分区管理”原则</w:t>
      </w:r>
      <w:r>
        <w:rPr>
          <w:rFonts w:hint="eastAsia" w:ascii="Times New Roman" w:hAnsi="Times New Roman"/>
        </w:rPr>
        <w:t>配置，</w:t>
      </w:r>
      <w:r>
        <w:rPr>
          <w:rFonts w:hint="eastAsia" w:ascii="Times New Roman" w:hAnsi="Times New Roman"/>
          <w:lang w:val="en-GB"/>
        </w:rPr>
        <w:t>且应符合</w:t>
      </w:r>
      <w:r>
        <w:rPr>
          <w:rFonts w:hint="eastAsia" w:ascii="Times New Roman" w:hAnsi="Times New Roman"/>
        </w:rPr>
        <w:t>GB/T 16571、GB/T 32581、GB/T 37078、GB 50348、GA 27等</w:t>
      </w:r>
      <w:r>
        <w:rPr>
          <w:rFonts w:hint="eastAsia" w:ascii="Times New Roman" w:hAnsi="Times New Roman"/>
          <w:lang w:val="en-GB"/>
        </w:rPr>
        <w:t>标准</w:t>
      </w:r>
      <w:r>
        <w:rPr>
          <w:rFonts w:hint="eastAsia" w:ascii="Times New Roman" w:hAnsi="Times New Roman"/>
        </w:rPr>
        <w:t>的要求</w:t>
      </w:r>
      <w:r>
        <w:rPr>
          <w:rFonts w:hint="eastAsia" w:ascii="Times New Roman" w:hAnsi="Times New Roman"/>
          <w:lang w:val="en-GB"/>
        </w:rPr>
        <w:t>。</w:t>
      </w:r>
    </w:p>
    <w:p w14:paraId="345F6E44">
      <w:pPr>
        <w:numPr>
          <w:ilvl w:val="0"/>
          <w:numId w:val="27"/>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应指定专人负责电子防范系统</w:t>
      </w:r>
      <w:r>
        <w:rPr>
          <w:rFonts w:hint="eastAsia" w:ascii="Times New Roman" w:hAnsi="Times New Roman"/>
        </w:rPr>
        <w:t>的</w:t>
      </w:r>
      <w:r>
        <w:rPr>
          <w:rFonts w:hint="eastAsia" w:ascii="Times New Roman" w:hAnsi="Times New Roman"/>
          <w:lang w:val="en-GB"/>
        </w:rPr>
        <w:t>操作和管理工作，实行</w:t>
      </w:r>
      <w:r>
        <w:rPr>
          <w:rFonts w:hint="eastAsia" w:ascii="Times New Roman" w:hAnsi="Times New Roman"/>
        </w:rPr>
        <w:t>每周7×</w:t>
      </w:r>
      <w:r>
        <w:rPr>
          <w:rFonts w:hint="eastAsia" w:ascii="Times New Roman" w:hAnsi="Times New Roman"/>
          <w:lang w:val="en-GB"/>
        </w:rPr>
        <w:t>24小时值班制度。</w:t>
      </w:r>
    </w:p>
    <w:p w14:paraId="41B0D6CB">
      <w:pPr>
        <w:numPr>
          <w:ilvl w:val="0"/>
          <w:numId w:val="27"/>
        </w:numPr>
        <w:tabs>
          <w:tab w:val="left" w:pos="312"/>
          <w:tab w:val="left" w:pos="960"/>
          <w:tab w:val="left" w:pos="1200"/>
          <w:tab w:val="clear" w:pos="0"/>
        </w:tabs>
        <w:spacing w:line="300" w:lineRule="auto"/>
        <w:rPr>
          <w:rFonts w:ascii="Times New Roman" w:hAnsi="Times New Roman"/>
          <w:lang w:val="en-GB"/>
        </w:rPr>
      </w:pPr>
      <w:r>
        <w:rPr>
          <w:rFonts w:ascii="Times New Roman" w:hAnsi="Times New Roman" w:eastAsia="Helvetica" w:cs="Helvetica"/>
          <w:color w:val="333333"/>
          <w:shd w:val="clear" w:color="auto" w:fill="FFFFFF"/>
        </w:rPr>
        <w:t>馆舍维修、展厅布展等</w:t>
      </w:r>
      <w:r>
        <w:rPr>
          <w:rFonts w:hint="eastAsia" w:ascii="Times New Roman" w:hAnsi="Times New Roman"/>
          <w:color w:val="000000" w:themeColor="text1"/>
          <w14:textFill>
            <w14:solidFill>
              <w14:schemeClr w14:val="tx1"/>
            </w14:solidFill>
          </w14:textFill>
        </w:rPr>
        <w:t>各类</w:t>
      </w:r>
      <w:r>
        <w:rPr>
          <w:rFonts w:ascii="Times New Roman" w:hAnsi="Times New Roman" w:eastAsia="Helvetica" w:cs="Helvetica"/>
          <w:color w:val="333333"/>
          <w:shd w:val="clear" w:color="auto" w:fill="FFFFFF"/>
        </w:rPr>
        <w:t>施工</w:t>
      </w:r>
      <w:r>
        <w:rPr>
          <w:rFonts w:hint="eastAsia" w:ascii="Times New Roman" w:hAnsi="Times New Roman"/>
          <w:color w:val="000000" w:themeColor="text1"/>
          <w14:textFill>
            <w14:solidFill>
              <w14:schemeClr w14:val="tx1"/>
            </w14:solidFill>
          </w14:textFill>
        </w:rPr>
        <w:t>活动，</w:t>
      </w:r>
      <w:r>
        <w:rPr>
          <w:rFonts w:ascii="Times New Roman" w:hAnsi="Times New Roman" w:eastAsia="Helvetica" w:cs="Helvetica"/>
          <w:color w:val="333333"/>
          <w:shd w:val="clear" w:color="auto" w:fill="FFFFFF"/>
        </w:rPr>
        <w:t>不</w:t>
      </w:r>
      <w:r>
        <w:rPr>
          <w:rFonts w:hint="eastAsia" w:ascii="Times New Roman" w:hAnsi="Times New Roman" w:cs="Helvetica"/>
          <w:color w:val="333333"/>
          <w:shd w:val="clear" w:color="auto" w:fill="FFFFFF"/>
        </w:rPr>
        <w:t>应</w:t>
      </w:r>
      <w:r>
        <w:rPr>
          <w:rFonts w:ascii="Times New Roman" w:hAnsi="Times New Roman" w:eastAsia="Helvetica" w:cs="Helvetica"/>
          <w:color w:val="333333"/>
          <w:shd w:val="clear" w:color="auto" w:fill="FFFFFF"/>
        </w:rPr>
        <w:t>影响</w:t>
      </w:r>
      <w:r>
        <w:rPr>
          <w:rFonts w:hint="eastAsia" w:ascii="Times New Roman" w:hAnsi="Times New Roman" w:cs="Helvetica"/>
          <w:color w:val="333333"/>
          <w:shd w:val="clear" w:color="auto" w:fill="FFFFFF"/>
        </w:rPr>
        <w:t>电子</w:t>
      </w:r>
      <w:r>
        <w:rPr>
          <w:rFonts w:ascii="Times New Roman" w:hAnsi="Times New Roman" w:eastAsia="Helvetica" w:cs="Helvetica"/>
          <w:color w:val="333333"/>
          <w:shd w:val="clear" w:color="auto" w:fill="FFFFFF"/>
        </w:rPr>
        <w:t>防范设施设备的正常</w:t>
      </w:r>
      <w:r>
        <w:rPr>
          <w:rFonts w:hint="eastAsia" w:ascii="Times New Roman" w:hAnsi="Times New Roman"/>
          <w:color w:val="000000" w:themeColor="text1"/>
          <w14:textFill>
            <w14:solidFill>
              <w14:schemeClr w14:val="tx1"/>
            </w14:solidFill>
          </w14:textFill>
        </w:rPr>
        <w:t>运行</w:t>
      </w:r>
      <w:r>
        <w:rPr>
          <w:rFonts w:hint="eastAsia" w:ascii="Times New Roman" w:hAnsi="Times New Roman" w:cs="Helvetica"/>
          <w:color w:val="333333"/>
          <w:shd w:val="clear" w:color="auto" w:fill="FFFFFF"/>
        </w:rPr>
        <w:t>，</w:t>
      </w:r>
      <w:r>
        <w:rPr>
          <w:rFonts w:hint="eastAsia" w:ascii="Times New Roman" w:hAnsi="Times New Roman"/>
          <w:color w:val="000000" w:themeColor="text1"/>
          <w14:textFill>
            <w14:solidFill>
              <w14:schemeClr w14:val="tx1"/>
            </w14:solidFill>
          </w14:textFill>
        </w:rPr>
        <w:t>确</w:t>
      </w:r>
      <w:r>
        <w:rPr>
          <w:rFonts w:ascii="Times New Roman" w:hAnsi="Times New Roman" w:eastAsia="Helvetica" w:cs="Helvetica"/>
          <w:color w:val="333333"/>
          <w:shd w:val="clear" w:color="auto" w:fill="FFFFFF"/>
        </w:rPr>
        <w:t>需移动</w:t>
      </w:r>
      <w:r>
        <w:rPr>
          <w:rFonts w:hint="eastAsia" w:ascii="Times New Roman" w:hAnsi="Times New Roman"/>
          <w:color w:val="000000" w:themeColor="text1"/>
          <w14:textFill>
            <w14:solidFill>
              <w14:schemeClr w14:val="tx1"/>
            </w14:solidFill>
          </w14:textFill>
        </w:rPr>
        <w:t>相关</w:t>
      </w:r>
      <w:r>
        <w:rPr>
          <w:rFonts w:ascii="Times New Roman" w:hAnsi="Times New Roman" w:eastAsia="Helvetica" w:cs="Helvetica"/>
          <w:color w:val="333333"/>
          <w:shd w:val="clear" w:color="auto" w:fill="FFFFFF"/>
        </w:rPr>
        <w:t>设备时</w:t>
      </w:r>
      <w:r>
        <w:rPr>
          <w:rFonts w:hint="eastAsia" w:ascii="Times New Roman" w:hAnsi="Times New Roman"/>
          <w:lang w:val="en-GB"/>
        </w:rPr>
        <w:t>，应履行审批程序，由专业人员组织实施。</w:t>
      </w:r>
    </w:p>
    <w:p w14:paraId="15C8D52C">
      <w:pPr>
        <w:numPr>
          <w:ilvl w:val="0"/>
          <w:numId w:val="27"/>
        </w:numPr>
        <w:tabs>
          <w:tab w:val="left" w:pos="312"/>
          <w:tab w:val="left" w:pos="960"/>
          <w:tab w:val="left" w:pos="1200"/>
          <w:tab w:val="clear" w:pos="0"/>
        </w:tabs>
        <w:spacing w:line="300" w:lineRule="auto"/>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监控中心</w:t>
      </w:r>
      <w:r>
        <w:rPr>
          <w:rFonts w:hint="eastAsia" w:ascii="Times New Roman" w:hAnsi="Times New Roman"/>
          <w:lang w:val="en-GB"/>
        </w:rPr>
        <w:t>应</w:t>
      </w:r>
      <w:r>
        <w:rPr>
          <w:rFonts w:hint="eastAsia" w:ascii="Times New Roman" w:hAnsi="Times New Roman"/>
          <w:color w:val="000000" w:themeColor="text1"/>
          <w14:textFill>
            <w14:solidFill>
              <w14:schemeClr w14:val="tx1"/>
            </w14:solidFill>
          </w14:textFill>
        </w:rPr>
        <w:t>配备</w:t>
      </w:r>
      <w:r>
        <w:rPr>
          <w:rFonts w:hint="eastAsia" w:ascii="Times New Roman" w:hAnsi="Times New Roman"/>
          <w:lang w:val="en-GB"/>
        </w:rPr>
        <w:t>保障值班人员正</w:t>
      </w:r>
      <w:r>
        <w:rPr>
          <w:rFonts w:hint="eastAsia" w:ascii="Times New Roman" w:hAnsi="Times New Roman"/>
          <w:color w:val="000000" w:themeColor="text1"/>
          <w:lang w:val="en-GB"/>
          <w14:textFill>
            <w14:solidFill>
              <w14:schemeClr w14:val="tx1"/>
            </w14:solidFill>
          </w14:textFill>
        </w:rPr>
        <w:t>常</w:t>
      </w:r>
      <w:r>
        <w:rPr>
          <w:rFonts w:hint="eastAsia" w:ascii="Times New Roman" w:hAnsi="Times New Roman"/>
          <w:color w:val="000000" w:themeColor="text1"/>
          <w14:textFill>
            <w14:solidFill>
              <w14:schemeClr w14:val="tx1"/>
            </w14:solidFill>
          </w14:textFill>
        </w:rPr>
        <w:t>履职</w:t>
      </w:r>
      <w:r>
        <w:rPr>
          <w:rFonts w:hint="eastAsia" w:ascii="Times New Roman" w:hAnsi="Times New Roman"/>
          <w:color w:val="000000" w:themeColor="text1"/>
          <w:lang w:val="en-GB"/>
          <w14:textFill>
            <w14:solidFill>
              <w14:schemeClr w14:val="tx1"/>
            </w14:solidFill>
          </w14:textFill>
        </w:rPr>
        <w:t>的辅助设施</w:t>
      </w:r>
      <w:r>
        <w:rPr>
          <w:rFonts w:hint="eastAsia" w:ascii="Times New Roman" w:hAnsi="Times New Roman"/>
          <w:color w:val="000000" w:themeColor="text1"/>
          <w14:textFill>
            <w14:solidFill>
              <w14:schemeClr w14:val="tx1"/>
            </w14:solidFill>
          </w14:textFill>
        </w:rPr>
        <w:t>设备</w:t>
      </w:r>
      <w:r>
        <w:rPr>
          <w:rFonts w:hint="eastAsia" w:ascii="Times New Roman" w:hAnsi="Times New Roman"/>
          <w:color w:val="000000" w:themeColor="text1"/>
          <w:lang w:val="en-GB"/>
          <w14:textFill>
            <w14:solidFill>
              <w14:schemeClr w14:val="tx1"/>
            </w14:solidFill>
          </w14:textFill>
        </w:rPr>
        <w:t>及</w:t>
      </w:r>
      <w:r>
        <w:rPr>
          <w:rFonts w:hint="eastAsia" w:ascii="Times New Roman" w:hAnsi="Times New Roman"/>
          <w:color w:val="000000" w:themeColor="text1"/>
          <w14:textFill>
            <w14:solidFill>
              <w14:schemeClr w14:val="tx1"/>
            </w14:solidFill>
          </w14:textFill>
        </w:rPr>
        <w:t>个人防护装备</w:t>
      </w:r>
      <w:r>
        <w:rPr>
          <w:rFonts w:hint="eastAsia" w:ascii="Times New Roman" w:hAnsi="Times New Roman"/>
          <w:color w:val="000000" w:themeColor="text1"/>
          <w:lang w:val="en-GB"/>
          <w14:textFill>
            <w14:solidFill>
              <w14:schemeClr w14:val="tx1"/>
            </w14:solidFill>
          </w14:textFill>
        </w:rPr>
        <w:t>；值班人员应与执勤巡查人员保持</w:t>
      </w:r>
      <w:r>
        <w:rPr>
          <w:rFonts w:hint="eastAsia" w:ascii="Times New Roman" w:hAnsi="Times New Roman"/>
          <w:color w:val="000000" w:themeColor="text1"/>
          <w14:textFill>
            <w14:solidFill>
              <w14:schemeClr w14:val="tx1"/>
            </w14:solidFill>
          </w14:textFill>
        </w:rPr>
        <w:t>24小时不间断通讯联络。</w:t>
      </w:r>
    </w:p>
    <w:p w14:paraId="29C2FC9A">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监控中心应实行封闭式管理，</w:t>
      </w:r>
      <w:r>
        <w:rPr>
          <w:rFonts w:hint="eastAsia" w:ascii="Times New Roman" w:hAnsi="Times New Roman"/>
          <w:lang w:val="en-GB"/>
        </w:rPr>
        <w:t>执行人员进出审批及登记制度</w:t>
      </w:r>
      <w:r>
        <w:rPr>
          <w:rFonts w:hint="eastAsia" w:ascii="Times New Roman" w:hAnsi="Times New Roman"/>
          <w:color w:val="000000" w:themeColor="text1"/>
          <w:lang w:val="en-GB"/>
          <w14:textFill>
            <w14:solidFill>
              <w14:schemeClr w14:val="tx1"/>
            </w14:solidFill>
          </w14:textFill>
        </w:rPr>
        <w:t>。</w:t>
      </w:r>
    </w:p>
    <w:p w14:paraId="3CBA9B97">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14:textFill>
            <w14:solidFill>
              <w14:schemeClr w14:val="tx1"/>
            </w14:solidFill>
          </w14:textFill>
        </w:rPr>
        <w:t>值班</w:t>
      </w:r>
      <w:r>
        <w:rPr>
          <w:rFonts w:hint="eastAsia" w:ascii="Times New Roman" w:hAnsi="Times New Roman"/>
          <w:color w:val="000000" w:themeColor="text1"/>
          <w:lang w:val="en-GB"/>
          <w14:textFill>
            <w14:solidFill>
              <w14:schemeClr w14:val="tx1"/>
            </w14:solidFill>
          </w14:textFill>
        </w:rPr>
        <w:t>人员应如实填写值班记录，值班记录内容应包括但不限于：</w:t>
      </w:r>
    </w:p>
    <w:p w14:paraId="78785702">
      <w:pPr>
        <w:pStyle w:val="37"/>
        <w:numPr>
          <w:ilvl w:val="0"/>
          <w:numId w:val="28"/>
        </w:numPr>
        <w:spacing w:line="240" w:lineRule="auto"/>
        <w:ind w:left="0" w:leftChars="0" w:firstLine="420" w:firstLineChars="200"/>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系统报警处置过程及视频监控运行情况；</w:t>
      </w:r>
    </w:p>
    <w:p w14:paraId="209A07B8">
      <w:pPr>
        <w:pStyle w:val="37"/>
        <w:numPr>
          <w:ilvl w:val="0"/>
          <w:numId w:val="28"/>
        </w:numPr>
        <w:spacing w:line="240" w:lineRule="auto"/>
        <w:ind w:left="0" w:leftChars="0" w:firstLine="420" w:firstLineChars="200"/>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值班过程中发现的异常情况及处置措施与结果；</w:t>
      </w:r>
    </w:p>
    <w:p w14:paraId="6E34DA30">
      <w:pPr>
        <w:pStyle w:val="37"/>
        <w:numPr>
          <w:ilvl w:val="0"/>
          <w:numId w:val="28"/>
        </w:numPr>
        <w:spacing w:line="240" w:lineRule="auto"/>
        <w:ind w:left="0" w:leftChars="0" w:firstLine="420" w:firstLineChars="200"/>
        <w:rPr>
          <w:color w:val="000000" w:themeColor="text1"/>
          <w:lang w:val="en-GB"/>
          <w14:textFill>
            <w14:solidFill>
              <w14:schemeClr w14:val="tx1"/>
            </w14:solidFill>
          </w14:textFill>
        </w:rPr>
      </w:pPr>
      <w:r>
        <w:rPr>
          <w:rFonts w:hint="eastAsia"/>
          <w:color w:val="000000" w:themeColor="text1"/>
          <w:lang w:val="en-GB"/>
          <w14:textFill>
            <w14:solidFill>
              <w14:schemeClr w14:val="tx1"/>
            </w14:solidFill>
          </w14:textFill>
        </w:rPr>
        <w:t>需要与下一班次值班人员交接</w:t>
      </w:r>
      <w:r>
        <w:rPr>
          <w:rFonts w:hint="eastAsia"/>
          <w:color w:val="000000" w:themeColor="text1"/>
          <w14:textFill>
            <w14:solidFill>
              <w14:schemeClr w14:val="tx1"/>
            </w14:solidFill>
          </w14:textFill>
        </w:rPr>
        <w:t>的</w:t>
      </w:r>
      <w:r>
        <w:rPr>
          <w:rFonts w:hint="eastAsia"/>
          <w:color w:val="000000" w:themeColor="text1"/>
          <w:lang w:val="en-GB"/>
          <w14:textFill>
            <w14:solidFill>
              <w14:schemeClr w14:val="tx1"/>
            </w14:solidFill>
          </w14:textFill>
        </w:rPr>
        <w:t>事项</w:t>
      </w:r>
      <w:r>
        <w:rPr>
          <w:rFonts w:hint="eastAsia"/>
          <w:color w:val="000000" w:themeColor="text1"/>
          <w14:textFill>
            <w14:solidFill>
              <w14:schemeClr w14:val="tx1"/>
            </w14:solidFill>
          </w14:textFill>
        </w:rPr>
        <w:t>及注意要点</w:t>
      </w:r>
      <w:r>
        <w:rPr>
          <w:rFonts w:hint="eastAsia"/>
          <w:color w:val="000000" w:themeColor="text1"/>
          <w:lang w:val="en-GB"/>
          <w14:textFill>
            <w14:solidFill>
              <w14:schemeClr w14:val="tx1"/>
            </w14:solidFill>
          </w14:textFill>
        </w:rPr>
        <w:t>。</w:t>
      </w:r>
    </w:p>
    <w:p w14:paraId="5CC9B547">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监控中心应实行24小时不间断录像，监视效果应清晰显示监控中心内人员活动状况。</w:t>
      </w:r>
    </w:p>
    <w:p w14:paraId="6DF1C772">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防范恐怖袭击重点目标的</w:t>
      </w:r>
      <w:r>
        <w:rPr>
          <w:rFonts w:hint="eastAsia" w:ascii="Times New Roman" w:hAnsi="Times New Roman"/>
          <w:color w:val="000000" w:themeColor="text1"/>
          <w14:textFill>
            <w14:solidFill>
              <w14:schemeClr w14:val="tx1"/>
            </w14:solidFill>
          </w14:textFill>
        </w:rPr>
        <w:t>录</w:t>
      </w:r>
      <w:r>
        <w:rPr>
          <w:rFonts w:hint="eastAsia" w:ascii="Times New Roman" w:hAnsi="Times New Roman"/>
          <w:color w:val="000000" w:themeColor="text1"/>
          <w:lang w:val="en-GB"/>
          <w14:textFill>
            <w14:solidFill>
              <w14:schemeClr w14:val="tx1"/>
            </w14:solidFill>
          </w14:textFill>
        </w:rPr>
        <w:t>像信息保存期限不应少于90</w:t>
      </w:r>
      <w:r>
        <w:rPr>
          <w:rFonts w:hint="eastAsia" w:ascii="Times New Roman" w:hAnsi="Times New Roman"/>
          <w:color w:val="000000" w:themeColor="text1"/>
          <w14:textFill>
            <w14:solidFill>
              <w14:schemeClr w14:val="tx1"/>
            </w14:solidFill>
          </w14:textFill>
        </w:rPr>
        <w:t>天，</w:t>
      </w:r>
      <w:r>
        <w:rPr>
          <w:rFonts w:hint="eastAsia" w:ascii="Times New Roman" w:hAnsi="Times New Roman"/>
          <w:color w:val="000000" w:themeColor="text1"/>
          <w:lang w:val="en-GB"/>
          <w14:textFill>
            <w14:solidFill>
              <w14:schemeClr w14:val="tx1"/>
            </w14:solidFill>
          </w14:textFill>
        </w:rPr>
        <w:t>其他目标的</w:t>
      </w:r>
      <w:r>
        <w:rPr>
          <w:rFonts w:hint="eastAsia" w:ascii="Times New Roman" w:hAnsi="Times New Roman"/>
          <w:color w:val="000000" w:themeColor="text1"/>
          <w14:textFill>
            <w14:solidFill>
              <w14:schemeClr w14:val="tx1"/>
            </w14:solidFill>
          </w14:textFill>
        </w:rPr>
        <w:t>录</w:t>
      </w:r>
      <w:r>
        <w:rPr>
          <w:rFonts w:hint="eastAsia" w:ascii="Times New Roman" w:hAnsi="Times New Roman"/>
          <w:color w:val="000000" w:themeColor="text1"/>
          <w:lang w:val="en-GB"/>
          <w14:textFill>
            <w14:solidFill>
              <w14:schemeClr w14:val="tx1"/>
            </w14:solidFill>
          </w14:textFill>
        </w:rPr>
        <w:t>像信息保存期限不应少于30天。音视频信息、报警记录等资料的复制与查阅，应履行审批及登记程序。</w:t>
      </w:r>
    </w:p>
    <w:p w14:paraId="3CA4800A">
      <w:pPr>
        <w:numPr>
          <w:ilvl w:val="255"/>
          <w:numId w:val="0"/>
        </w:numPr>
        <w:tabs>
          <w:tab w:val="left" w:pos="720"/>
          <w:tab w:val="left" w:pos="960"/>
          <w:tab w:val="left" w:pos="1200"/>
        </w:tabs>
        <w:spacing w:line="300" w:lineRule="auto"/>
        <w:ind w:left="796" w:leftChars="200" w:hanging="376" w:hangingChars="209"/>
        <w:rPr>
          <w:rFonts w:ascii="Times New Roman" w:hAnsi="Times New Roman" w:cs="宋体"/>
          <w:sz w:val="18"/>
          <w:szCs w:val="18"/>
        </w:rPr>
      </w:pPr>
      <w:r>
        <w:rPr>
          <w:rFonts w:hint="eastAsia" w:ascii="Times New Roman" w:hAnsi="Times New Roman" w:eastAsia="黑体" w:cs="黑体"/>
          <w:sz w:val="18"/>
          <w:szCs w:val="18"/>
        </w:rPr>
        <w:t>注：</w:t>
      </w:r>
      <w:r>
        <w:rPr>
          <w:rFonts w:hint="eastAsia" w:ascii="Times New Roman" w:hAnsi="Times New Roman" w:cs="宋体"/>
          <w:sz w:val="18"/>
          <w:szCs w:val="18"/>
        </w:rPr>
        <w:t>根据《中华人民共和国反恐怖主义法》规定，公安机关应当会同有关部门，将遭受恐怖袭击的可能性较大以及遭受恐怖袭击可能造成重大的人身伤亡、财产损失或者社会影响的单位、场所、活动、设施等确定为防范恐怖袭击的重点目标。</w:t>
      </w:r>
    </w:p>
    <w:p w14:paraId="6587CADE">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电子防范系统维护保养</w:t>
      </w:r>
      <w:r>
        <w:rPr>
          <w:rFonts w:hint="eastAsia" w:ascii="Times New Roman" w:hAnsi="Times New Roman"/>
          <w:color w:val="000000" w:themeColor="text1"/>
          <w14:textFill>
            <w14:solidFill>
              <w14:schemeClr w14:val="tx1"/>
            </w14:solidFill>
          </w14:textFill>
        </w:rPr>
        <w:t>工作</w:t>
      </w:r>
      <w:r>
        <w:rPr>
          <w:rFonts w:hint="eastAsia" w:ascii="Times New Roman" w:hAnsi="Times New Roman"/>
          <w:color w:val="000000" w:themeColor="text1"/>
          <w:lang w:val="en-GB"/>
          <w14:textFill>
            <w14:solidFill>
              <w14:schemeClr w14:val="tx1"/>
            </w14:solidFill>
          </w14:textFill>
        </w:rPr>
        <w:t>应符合GA/T</w:t>
      </w:r>
      <w:r>
        <w:rPr>
          <w:rFonts w:hint="eastAsia"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lang w:val="en-GB"/>
          <w14:textFill>
            <w14:solidFill>
              <w14:schemeClr w14:val="tx1"/>
            </w14:solidFill>
          </w14:textFill>
        </w:rPr>
        <w:t>1081标准</w:t>
      </w:r>
      <w:r>
        <w:rPr>
          <w:rFonts w:hint="eastAsia" w:ascii="Times New Roman" w:hAnsi="Times New Roman"/>
          <w:color w:val="000000" w:themeColor="text1"/>
          <w14:textFill>
            <w14:solidFill>
              <w14:schemeClr w14:val="tx1"/>
            </w14:solidFill>
          </w14:textFill>
        </w:rPr>
        <w:t>要求</w:t>
      </w:r>
      <w:r>
        <w:rPr>
          <w:rFonts w:hint="eastAsia" w:ascii="Times New Roman" w:hAnsi="Times New Roman"/>
          <w:color w:val="000000" w:themeColor="text1"/>
          <w:lang w:val="en-GB"/>
          <w14:textFill>
            <w14:solidFill>
              <w14:schemeClr w14:val="tx1"/>
            </w14:solidFill>
          </w14:textFill>
        </w:rPr>
        <w:t>，应</w:t>
      </w:r>
      <w:r>
        <w:rPr>
          <w:rFonts w:hint="eastAsia" w:ascii="Times New Roman" w:hAnsi="Times New Roman"/>
          <w:color w:val="000000" w:themeColor="text1"/>
          <w14:textFill>
            <w14:solidFill>
              <w14:schemeClr w14:val="tx1"/>
            </w14:solidFill>
          </w14:textFill>
        </w:rPr>
        <w:t>定期开展预防性维护</w:t>
      </w:r>
      <w:r>
        <w:rPr>
          <w:rFonts w:hint="eastAsia" w:ascii="Times New Roman" w:hAnsi="Times New Roman"/>
          <w:color w:val="000000" w:themeColor="text1"/>
          <w:lang w:val="en-GB"/>
          <w14:textFill>
            <w14:solidFill>
              <w14:schemeClr w14:val="tx1"/>
            </w14:solidFill>
          </w14:textFill>
        </w:rPr>
        <w:t>与</w:t>
      </w:r>
      <w:r>
        <w:rPr>
          <w:rFonts w:hint="eastAsia" w:ascii="Times New Roman" w:hAnsi="Times New Roman"/>
          <w:color w:val="000000" w:themeColor="text1"/>
          <w14:textFill>
            <w14:solidFill>
              <w14:schemeClr w14:val="tx1"/>
            </w14:solidFill>
          </w14:textFill>
        </w:rPr>
        <w:t>预测性维护工作，每年</w:t>
      </w:r>
      <w:r>
        <w:rPr>
          <w:rFonts w:hint="eastAsia" w:ascii="Times New Roman" w:hAnsi="Times New Roman"/>
          <w:color w:val="000000" w:themeColor="text1"/>
          <w:lang w:val="en-GB"/>
          <w14:textFill>
            <w14:solidFill>
              <w14:schemeClr w14:val="tx1"/>
            </w14:solidFill>
          </w14:textFill>
        </w:rPr>
        <w:t>组织一次全面检修，运维工作应记录及时归档保存。</w:t>
      </w:r>
    </w:p>
    <w:p w14:paraId="3194656D">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电子防范系统集成共享应符合GB</w:t>
      </w:r>
      <w:r>
        <w:rPr>
          <w:rFonts w:hint="eastAsia"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lang w:val="en-GB"/>
          <w14:textFill>
            <w14:solidFill>
              <w14:schemeClr w14:val="tx1"/>
            </w14:solidFill>
          </w14:textFill>
        </w:rPr>
        <w:t>50348、GB</w:t>
      </w:r>
      <w:r>
        <w:rPr>
          <w:rFonts w:hint="eastAsia"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lang w:val="en-GB"/>
          <w14:textFill>
            <w14:solidFill>
              <w14:schemeClr w14:val="tx1"/>
            </w14:solidFill>
          </w14:textFill>
        </w:rPr>
        <w:t>55029、</w:t>
      </w:r>
      <w:r>
        <w:fldChar w:fldCharType="begin"/>
      </w:r>
      <w:r>
        <w:instrText xml:space="preserve"> HYPERLINK "http://www.baidu.com/link?url=suFBuoDcudsDwPfbhlLHSVcmHGDlnYbO4Tzcbb_VWfnynLJg8BRLZ-VsmD3vvpbkYpjPwLqpNvzDCn0IfraS0_" \t "https://www.baidu.com/_blank" </w:instrText>
      </w:r>
      <w:r>
        <w:fldChar w:fldCharType="separate"/>
      </w:r>
      <w:r>
        <w:rPr>
          <w:rFonts w:hint="eastAsia" w:ascii="Times New Roman" w:hAnsi="Times New Roman"/>
          <w:color w:val="000000" w:themeColor="text1"/>
          <w:lang w:val="en-GB"/>
          <w14:textFill>
            <w14:solidFill>
              <w14:schemeClr w14:val="tx1"/>
            </w14:solidFill>
          </w14:textFill>
        </w:rPr>
        <w:t>GB/T</w:t>
      </w:r>
      <w:r>
        <w:rPr>
          <w:rFonts w:hint="eastAsia"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lang w:val="en-GB"/>
          <w14:textFill>
            <w14:solidFill>
              <w14:schemeClr w14:val="tx1"/>
            </w14:solidFill>
          </w14:textFill>
        </w:rPr>
        <w:t>28181</w:t>
      </w:r>
      <w:r>
        <w:rPr>
          <w:rFonts w:hint="eastAsia" w:ascii="Times New Roman" w:hAnsi="Times New Roman"/>
          <w:color w:val="000000" w:themeColor="text1"/>
          <w:lang w:val="en-GB"/>
          <w14:textFill>
            <w14:solidFill>
              <w14:schemeClr w14:val="tx1"/>
            </w14:solidFill>
          </w14:textFill>
        </w:rPr>
        <w:fldChar w:fldCharType="end"/>
      </w:r>
      <w:r>
        <w:rPr>
          <w:rFonts w:hint="eastAsia" w:ascii="Times New Roman" w:hAnsi="Times New Roman"/>
          <w:color w:val="000000" w:themeColor="text1"/>
          <w:lang w:val="en-GB"/>
          <w14:textFill>
            <w14:solidFill>
              <w14:schemeClr w14:val="tx1"/>
            </w14:solidFill>
          </w14:textFill>
        </w:rPr>
        <w:t>标准要求。与文物直接相关的电子防范系统应采用专用传输网络</w:t>
      </w:r>
      <w:r>
        <w:rPr>
          <w:rFonts w:hint="eastAsia" w:ascii="Times New Roman" w:hAnsi="Times New Roman"/>
          <w:color w:val="000000" w:themeColor="text1"/>
          <w14:textFill>
            <w14:solidFill>
              <w14:schemeClr w14:val="tx1"/>
            </w14:solidFill>
          </w14:textFill>
        </w:rPr>
        <w:t>（</w:t>
      </w:r>
      <w:r>
        <w:rPr>
          <w:rFonts w:hint="eastAsia" w:ascii="Times New Roman" w:hAnsi="Times New Roman"/>
          <w:color w:val="000000" w:themeColor="text1"/>
          <w:lang w:val="en-GB"/>
          <w14:textFill>
            <w14:solidFill>
              <w14:schemeClr w14:val="tx1"/>
            </w14:solidFill>
          </w14:textFill>
        </w:rPr>
        <w:t>专线或虚拟专用网），基于不同传输网络的系统及设备联网时，应采取针对性的网络边界安全</w:t>
      </w:r>
      <w:r>
        <w:rPr>
          <w:rFonts w:hint="eastAsia" w:ascii="Times New Roman" w:hAnsi="Times New Roman"/>
          <w:color w:val="000000" w:themeColor="text1"/>
          <w14:textFill>
            <w14:solidFill>
              <w14:schemeClr w14:val="tx1"/>
            </w14:solidFill>
          </w14:textFill>
        </w:rPr>
        <w:t>防护</w:t>
      </w:r>
      <w:r>
        <w:rPr>
          <w:rFonts w:hint="eastAsia" w:ascii="Times New Roman" w:hAnsi="Times New Roman"/>
          <w:color w:val="000000" w:themeColor="text1"/>
          <w:lang w:val="en-GB"/>
          <w14:textFill>
            <w14:solidFill>
              <w14:schemeClr w14:val="tx1"/>
            </w14:solidFill>
          </w14:textFill>
        </w:rPr>
        <w:t>措施。</w:t>
      </w:r>
    </w:p>
    <w:p w14:paraId="0D61B238">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r>
        <w:rPr>
          <w:rFonts w:hint="eastAsia" w:ascii="Times New Roman" w:hAnsi="Times New Roman"/>
          <w:color w:val="000000" w:themeColor="text1"/>
          <w:lang w:val="en-GB"/>
          <w14:textFill>
            <w14:solidFill>
              <w14:schemeClr w14:val="tx1"/>
            </w14:solidFill>
          </w14:textFill>
        </w:rPr>
        <w:t>应根据故障发生时间、区域、数量等特征，建立系统故障分级规则，明确故障修复要求。关键设备应配备必要的备用备件。设备发生故障后，</w:t>
      </w:r>
      <w:r>
        <w:rPr>
          <w:rFonts w:hint="eastAsia" w:ascii="Times New Roman" w:hAnsi="Times New Roman"/>
          <w:color w:val="000000" w:themeColor="text1"/>
          <w14:textFill>
            <w14:solidFill>
              <w14:schemeClr w14:val="tx1"/>
            </w14:solidFill>
          </w14:textFill>
        </w:rPr>
        <w:t>国家</w:t>
      </w:r>
      <w:r>
        <w:rPr>
          <w:rFonts w:hint="eastAsia" w:ascii="Times New Roman" w:hAnsi="Times New Roman"/>
          <w:color w:val="000000" w:themeColor="text1"/>
          <w:lang w:val="en-GB"/>
          <w14:textFill>
            <w14:solidFill>
              <w14:schemeClr w14:val="tx1"/>
            </w14:solidFill>
          </w14:textFill>
        </w:rPr>
        <w:t>一级</w:t>
      </w:r>
      <w:r>
        <w:rPr>
          <w:rFonts w:hint="eastAsia" w:ascii="Times New Roman" w:hAnsi="Times New Roman"/>
          <w:color w:val="000000" w:themeColor="text1"/>
          <w14:textFill>
            <w14:solidFill>
              <w14:schemeClr w14:val="tx1"/>
            </w14:solidFill>
          </w14:textFill>
        </w:rPr>
        <w:t>博物馆</w:t>
      </w:r>
      <w:r>
        <w:rPr>
          <w:rFonts w:hint="eastAsia" w:ascii="Times New Roman" w:hAnsi="Times New Roman"/>
          <w:color w:val="000000" w:themeColor="text1"/>
          <w:lang w:val="en-GB"/>
          <w14:textFill>
            <w14:solidFill>
              <w14:schemeClr w14:val="tx1"/>
            </w14:solidFill>
          </w14:textFill>
        </w:rPr>
        <w:t>应在3日内修复，</w:t>
      </w:r>
      <w:r>
        <w:rPr>
          <w:rFonts w:hint="eastAsia" w:ascii="Times New Roman" w:hAnsi="Times New Roman"/>
          <w:color w:val="000000" w:themeColor="text1"/>
          <w14:textFill>
            <w14:solidFill>
              <w14:schemeClr w14:val="tx1"/>
            </w14:solidFill>
          </w14:textFill>
        </w:rPr>
        <w:t>国家</w:t>
      </w:r>
      <w:r>
        <w:rPr>
          <w:rFonts w:hint="eastAsia" w:ascii="Times New Roman" w:hAnsi="Times New Roman"/>
          <w:color w:val="000000" w:themeColor="text1"/>
          <w:lang w:val="en-GB"/>
          <w14:textFill>
            <w14:solidFill>
              <w14:schemeClr w14:val="tx1"/>
            </w14:solidFill>
          </w14:textFill>
        </w:rPr>
        <w:t>二级</w:t>
      </w:r>
      <w:r>
        <w:rPr>
          <w:rFonts w:hint="eastAsia" w:ascii="Times New Roman" w:hAnsi="Times New Roman"/>
          <w:color w:val="000000" w:themeColor="text1"/>
          <w14:textFill>
            <w14:solidFill>
              <w14:schemeClr w14:val="tx1"/>
            </w14:solidFill>
          </w14:textFill>
        </w:rPr>
        <w:t>博物馆</w:t>
      </w:r>
      <w:r>
        <w:rPr>
          <w:rFonts w:hint="eastAsia" w:ascii="Times New Roman" w:hAnsi="Times New Roman"/>
          <w:color w:val="000000" w:themeColor="text1"/>
          <w:lang w:val="en-GB"/>
          <w14:textFill>
            <w14:solidFill>
              <w14:schemeClr w14:val="tx1"/>
            </w14:solidFill>
          </w14:textFill>
        </w:rPr>
        <w:t>应在7日内修复、</w:t>
      </w:r>
      <w:r>
        <w:rPr>
          <w:rFonts w:hint="eastAsia" w:ascii="Times New Roman" w:hAnsi="Times New Roman"/>
          <w:color w:val="000000" w:themeColor="text1"/>
          <w14:textFill>
            <w14:solidFill>
              <w14:schemeClr w14:val="tx1"/>
            </w14:solidFill>
          </w14:textFill>
        </w:rPr>
        <w:t>国家</w:t>
      </w:r>
      <w:r>
        <w:rPr>
          <w:rFonts w:hint="eastAsia" w:ascii="Times New Roman" w:hAnsi="Times New Roman"/>
          <w:color w:val="000000" w:themeColor="text1"/>
          <w:lang w:val="en-GB"/>
          <w14:textFill>
            <w14:solidFill>
              <w14:schemeClr w14:val="tx1"/>
            </w14:solidFill>
          </w14:textFill>
        </w:rPr>
        <w:t>三级</w:t>
      </w:r>
      <w:r>
        <w:rPr>
          <w:rFonts w:hint="eastAsia" w:ascii="Times New Roman" w:hAnsi="Times New Roman"/>
          <w:color w:val="000000" w:themeColor="text1"/>
          <w14:textFill>
            <w14:solidFill>
              <w14:schemeClr w14:val="tx1"/>
            </w14:solidFill>
          </w14:textFill>
        </w:rPr>
        <w:t>博物馆</w:t>
      </w:r>
      <w:r>
        <w:rPr>
          <w:rFonts w:hint="eastAsia" w:ascii="Times New Roman" w:hAnsi="Times New Roman"/>
          <w:color w:val="000000" w:themeColor="text1"/>
          <w:lang w:val="en-GB"/>
          <w14:textFill>
            <w14:solidFill>
              <w14:schemeClr w14:val="tx1"/>
            </w14:solidFill>
          </w14:textFill>
        </w:rPr>
        <w:t>及</w:t>
      </w:r>
      <w:r>
        <w:rPr>
          <w:rFonts w:hint="eastAsia" w:ascii="Times New Roman" w:hAnsi="Times New Roman"/>
          <w:color w:val="000000" w:themeColor="text1"/>
          <w14:textFill>
            <w14:solidFill>
              <w14:schemeClr w14:val="tx1"/>
            </w14:solidFill>
          </w14:textFill>
        </w:rPr>
        <w:t>未定级博物馆</w:t>
      </w:r>
      <w:r>
        <w:rPr>
          <w:rFonts w:hint="eastAsia" w:ascii="Times New Roman" w:hAnsi="Times New Roman"/>
          <w:color w:val="000000" w:themeColor="text1"/>
          <w:lang w:val="en-GB"/>
          <w14:textFill>
            <w14:solidFill>
              <w14:schemeClr w14:val="tx1"/>
            </w14:solidFill>
          </w14:textFill>
        </w:rPr>
        <w:t>应在15日内修复。故障未修复期间，应采取临时替代防护或应急防范措施。</w:t>
      </w:r>
    </w:p>
    <w:p w14:paraId="1EAAF2CA">
      <w:pPr>
        <w:numPr>
          <w:ilvl w:val="0"/>
          <w:numId w:val="27"/>
        </w:numPr>
        <w:tabs>
          <w:tab w:val="left" w:pos="312"/>
          <w:tab w:val="left" w:pos="960"/>
          <w:tab w:val="left" w:pos="1200"/>
          <w:tab w:val="clear" w:pos="0"/>
        </w:tabs>
        <w:spacing w:line="300" w:lineRule="auto"/>
        <w:rPr>
          <w:rFonts w:ascii="Times New Roman" w:hAnsi="Times New Roman"/>
          <w:color w:val="000000" w:themeColor="text1"/>
          <w:lang w:val="en-GB"/>
          <w14:textFill>
            <w14:solidFill>
              <w14:schemeClr w14:val="tx1"/>
            </w14:solidFill>
          </w14:textFill>
        </w:rPr>
      </w:pPr>
      <w:bookmarkStart w:id="321" w:name="_Toc29561"/>
      <w:r>
        <w:rPr>
          <w:rFonts w:hint="eastAsia" w:ascii="Times New Roman" w:hAnsi="Times New Roman"/>
          <w:color w:val="000000" w:themeColor="text1"/>
          <w:lang w:val="en-GB"/>
          <w14:textFill>
            <w14:solidFill>
              <w14:schemeClr w14:val="tx1"/>
            </w14:solidFill>
          </w14:textFill>
        </w:rPr>
        <w:t>电子防范系统应配备专用备用电源，入侵和紧急报警系统的应急供电时间不宜小于8</w:t>
      </w:r>
      <w:r>
        <w:rPr>
          <w:rFonts w:hint="eastAsia" w:ascii="Times New Roman" w:hAnsi="Times New Roman"/>
          <w:color w:val="000000" w:themeColor="text1"/>
          <w14:textFill>
            <w14:solidFill>
              <w14:schemeClr w14:val="tx1"/>
            </w14:solidFill>
          </w14:textFill>
        </w:rPr>
        <w:t>小时</w:t>
      </w:r>
      <w:r>
        <w:rPr>
          <w:rFonts w:hint="eastAsia" w:ascii="Times New Roman" w:hAnsi="Times New Roman"/>
          <w:color w:val="000000" w:themeColor="text1"/>
          <w:lang w:val="en-GB"/>
          <w14:textFill>
            <w14:solidFill>
              <w14:schemeClr w14:val="tx1"/>
            </w14:solidFill>
          </w14:textFill>
        </w:rPr>
        <w:t>，视频监控系统关键设备的应急供电时间不宜小于l</w:t>
      </w:r>
      <w:r>
        <w:rPr>
          <w:rFonts w:hint="eastAsia" w:ascii="Times New Roman" w:hAnsi="Times New Roman"/>
          <w:color w:val="000000" w:themeColor="text1"/>
          <w14:textFill>
            <w14:solidFill>
              <w14:schemeClr w14:val="tx1"/>
            </w14:solidFill>
          </w14:textFill>
        </w:rPr>
        <w:t>小时</w:t>
      </w:r>
      <w:r>
        <w:rPr>
          <w:rFonts w:hint="eastAsia" w:ascii="Times New Roman" w:hAnsi="Times New Roman"/>
          <w:color w:val="000000" w:themeColor="text1"/>
          <w:lang w:val="en-GB"/>
          <w14:textFill>
            <w14:solidFill>
              <w14:schemeClr w14:val="tx1"/>
            </w14:solidFill>
          </w14:textFill>
        </w:rPr>
        <w:t>。</w:t>
      </w:r>
      <w:bookmarkEnd w:id="321"/>
    </w:p>
    <w:p w14:paraId="6ACAAF6B">
      <w:pPr>
        <w:pStyle w:val="36"/>
        <w:spacing w:before="120" w:after="120"/>
        <w:rPr>
          <w:rFonts w:ascii="Times New Roman"/>
        </w:rPr>
      </w:pPr>
      <w:bookmarkStart w:id="322" w:name="_Toc28045"/>
      <w:bookmarkStart w:id="323" w:name="_Toc25829"/>
      <w:bookmarkStart w:id="324" w:name="_Toc12318"/>
      <w:bookmarkStart w:id="325" w:name="_Toc17096"/>
      <w:bookmarkStart w:id="326" w:name="_Toc7728"/>
      <w:bookmarkStart w:id="327" w:name="_Toc14281"/>
      <w:bookmarkStart w:id="328" w:name="_Toc5135"/>
      <w:bookmarkStart w:id="329" w:name="_Toc12200"/>
      <w:bookmarkStart w:id="330" w:name="_Toc24123"/>
      <w:bookmarkStart w:id="331" w:name="_Toc26967"/>
      <w:bookmarkStart w:id="332" w:name="_Toc30441"/>
      <w:bookmarkStart w:id="333" w:name="_Toc21887"/>
      <w:r>
        <w:rPr>
          <w:rFonts w:hint="eastAsia" w:ascii="Times New Roman"/>
        </w:rPr>
        <w:t>布撤展安全</w:t>
      </w:r>
      <w:bookmarkEnd w:id="322"/>
      <w:bookmarkEnd w:id="323"/>
      <w:bookmarkEnd w:id="324"/>
      <w:bookmarkEnd w:id="325"/>
      <w:r>
        <w:rPr>
          <w:rFonts w:hint="eastAsia" w:ascii="Times New Roman"/>
        </w:rPr>
        <w:t>管理</w:t>
      </w:r>
      <w:bookmarkEnd w:id="326"/>
      <w:bookmarkEnd w:id="327"/>
      <w:bookmarkEnd w:id="328"/>
      <w:bookmarkEnd w:id="329"/>
      <w:bookmarkEnd w:id="330"/>
      <w:bookmarkEnd w:id="331"/>
      <w:bookmarkEnd w:id="332"/>
      <w:bookmarkEnd w:id="333"/>
    </w:p>
    <w:p w14:paraId="5FE17224">
      <w:pPr>
        <w:numPr>
          <w:ilvl w:val="0"/>
          <w:numId w:val="29"/>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布撤展方案设计应</w:t>
      </w:r>
      <w:r>
        <w:rPr>
          <w:rFonts w:hint="eastAsia" w:ascii="Times New Roman" w:hAnsi="Times New Roman"/>
          <w:lang w:val="en-GB"/>
        </w:rPr>
        <w:t>统筹</w:t>
      </w:r>
      <w:r>
        <w:rPr>
          <w:rFonts w:hint="eastAsia" w:ascii="Times New Roman" w:hAnsi="Times New Roman"/>
        </w:rPr>
        <w:t>兼顾观众秩序维护需求，</w:t>
      </w:r>
      <w:r>
        <w:rPr>
          <w:rFonts w:hint="eastAsia" w:ascii="Times New Roman" w:hAnsi="Times New Roman"/>
          <w:lang w:val="en-GB"/>
        </w:rPr>
        <w:t>其</w:t>
      </w:r>
      <w:r>
        <w:rPr>
          <w:rFonts w:hint="eastAsia" w:ascii="Times New Roman" w:hAnsi="Times New Roman"/>
        </w:rPr>
        <w:t>安全保卫</w:t>
      </w:r>
      <w:r>
        <w:rPr>
          <w:rFonts w:hint="eastAsia" w:ascii="Times New Roman" w:hAnsi="Times New Roman"/>
          <w:lang w:val="en-GB"/>
        </w:rPr>
        <w:t>专项</w:t>
      </w:r>
      <w:r>
        <w:rPr>
          <w:rFonts w:hint="eastAsia" w:ascii="Times New Roman" w:hAnsi="Times New Roman"/>
        </w:rPr>
        <w:t>内容应</w:t>
      </w:r>
      <w:r>
        <w:rPr>
          <w:rFonts w:hint="eastAsia" w:ascii="Times New Roman" w:hAnsi="Times New Roman"/>
          <w:lang w:val="en-GB"/>
        </w:rPr>
        <w:t>包含</w:t>
      </w:r>
      <w:r>
        <w:rPr>
          <w:rFonts w:hint="eastAsia" w:ascii="Times New Roman" w:hAnsi="Times New Roman"/>
        </w:rPr>
        <w:t>：</w:t>
      </w:r>
    </w:p>
    <w:p w14:paraId="6FD3BF3C">
      <w:pPr>
        <w:pStyle w:val="37"/>
        <w:numPr>
          <w:ilvl w:val="0"/>
          <w:numId w:val="30"/>
        </w:numPr>
        <w:spacing w:line="240" w:lineRule="auto"/>
        <w:ind w:left="0" w:leftChars="0" w:firstLine="420" w:firstLineChars="200"/>
        <w:rPr>
          <w:lang w:val="en-GB"/>
        </w:rPr>
      </w:pPr>
      <w:r>
        <w:rPr>
          <w:rFonts w:hint="eastAsia"/>
          <w:lang w:val="en-GB"/>
        </w:rPr>
        <w:t>展览起止时间、展览内容、展览地点等展览基础信息；</w:t>
      </w:r>
    </w:p>
    <w:p w14:paraId="7A908F19">
      <w:pPr>
        <w:pStyle w:val="37"/>
        <w:numPr>
          <w:ilvl w:val="0"/>
          <w:numId w:val="30"/>
        </w:numPr>
        <w:spacing w:line="240" w:lineRule="auto"/>
        <w:ind w:left="0" w:leftChars="0" w:firstLine="420" w:firstLineChars="200"/>
        <w:rPr>
          <w:lang w:val="en-GB"/>
        </w:rPr>
      </w:pPr>
      <w:r>
        <w:rPr>
          <w:rFonts w:hint="eastAsia"/>
          <w:lang w:val="en-GB"/>
        </w:rPr>
        <w:t>安防设施、警示标牌等安全防护设施布设方案；</w:t>
      </w:r>
    </w:p>
    <w:p w14:paraId="0EC06226">
      <w:pPr>
        <w:pStyle w:val="37"/>
        <w:numPr>
          <w:ilvl w:val="0"/>
          <w:numId w:val="30"/>
        </w:numPr>
        <w:spacing w:line="240" w:lineRule="auto"/>
        <w:ind w:left="0" w:leftChars="0" w:firstLine="420" w:firstLineChars="200"/>
        <w:rPr>
          <w:lang w:val="en-GB"/>
        </w:rPr>
      </w:pPr>
      <w:r>
        <w:rPr>
          <w:rFonts w:hint="eastAsia"/>
          <w:lang w:val="en-GB"/>
        </w:rPr>
        <w:t>安全保卫人员配备需求；</w:t>
      </w:r>
    </w:p>
    <w:p w14:paraId="025B1FD0">
      <w:pPr>
        <w:pStyle w:val="37"/>
        <w:numPr>
          <w:ilvl w:val="0"/>
          <w:numId w:val="30"/>
        </w:numPr>
        <w:spacing w:line="240" w:lineRule="auto"/>
        <w:ind w:left="0" w:leftChars="0" w:firstLine="420" w:firstLineChars="200"/>
        <w:rPr>
          <w:lang w:val="en-GB"/>
        </w:rPr>
      </w:pPr>
      <w:r>
        <w:rPr>
          <w:rFonts w:hint="eastAsia"/>
          <w:lang w:val="en-GB"/>
        </w:rPr>
        <w:t>展览区域客流流线方案；</w:t>
      </w:r>
    </w:p>
    <w:p w14:paraId="6588C7B0">
      <w:pPr>
        <w:pStyle w:val="37"/>
        <w:numPr>
          <w:ilvl w:val="0"/>
          <w:numId w:val="30"/>
        </w:numPr>
        <w:spacing w:line="240" w:lineRule="auto"/>
        <w:ind w:left="0" w:leftChars="0" w:firstLine="420" w:firstLineChars="200"/>
        <w:rPr>
          <w:lang w:val="en-GB"/>
        </w:rPr>
      </w:pPr>
      <w:r>
        <w:rPr>
          <w:rFonts w:hint="eastAsia"/>
          <w:lang w:val="en-GB"/>
        </w:rPr>
        <w:t>展览区域核定最高容纳人数；</w:t>
      </w:r>
    </w:p>
    <w:p w14:paraId="50E5EBDF">
      <w:pPr>
        <w:pStyle w:val="37"/>
        <w:numPr>
          <w:ilvl w:val="0"/>
          <w:numId w:val="30"/>
        </w:numPr>
        <w:spacing w:line="240" w:lineRule="auto"/>
        <w:ind w:left="0" w:leftChars="0" w:firstLine="420" w:firstLineChars="200"/>
        <w:rPr>
          <w:lang w:val="en-GB"/>
        </w:rPr>
      </w:pPr>
      <w:r>
        <w:rPr>
          <w:rFonts w:hint="eastAsia"/>
          <w:lang w:val="en-GB"/>
        </w:rPr>
        <w:t>专项应急预案；</w:t>
      </w:r>
    </w:p>
    <w:p w14:paraId="4EB8D14B">
      <w:pPr>
        <w:pStyle w:val="37"/>
        <w:numPr>
          <w:ilvl w:val="0"/>
          <w:numId w:val="30"/>
        </w:numPr>
        <w:spacing w:line="240" w:lineRule="auto"/>
        <w:ind w:left="0" w:leftChars="0" w:firstLine="420" w:firstLineChars="200"/>
        <w:rPr>
          <w:lang w:val="en-GB"/>
        </w:rPr>
      </w:pPr>
      <w:r>
        <w:rPr>
          <w:rFonts w:hint="eastAsia"/>
          <w:lang w:val="en-GB"/>
        </w:rPr>
        <w:t>其他需补充说明的安全事项。</w:t>
      </w:r>
    </w:p>
    <w:p w14:paraId="19F43C8C">
      <w:pPr>
        <w:numPr>
          <w:ilvl w:val="0"/>
          <w:numId w:val="29"/>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安全保卫部门应对布撤展安全保卫方案及实施情况开展审核与验收工作，核验相关区域人员防护措施、</w:t>
      </w:r>
      <w:r>
        <w:rPr>
          <w:rFonts w:hint="eastAsia" w:ascii="Times New Roman" w:hAnsi="Times New Roman" w:cs="宋体"/>
        </w:rPr>
        <w:t>物理防范</w:t>
      </w:r>
      <w:r>
        <w:rPr>
          <w:rFonts w:hint="eastAsia" w:ascii="Times New Roman" w:hAnsi="Times New Roman"/>
        </w:rPr>
        <w:t>设施及</w:t>
      </w:r>
      <w:r>
        <w:rPr>
          <w:rFonts w:hint="eastAsia" w:ascii="Times New Roman" w:hAnsi="Times New Roman" w:cs="宋体"/>
        </w:rPr>
        <w:t>电子防范系统</w:t>
      </w:r>
      <w:r>
        <w:rPr>
          <w:rFonts w:hint="eastAsia" w:ascii="Times New Roman" w:hAnsi="Times New Roman"/>
        </w:rPr>
        <w:t>的运行有效性。</w:t>
      </w:r>
    </w:p>
    <w:p w14:paraId="6DDAD28F">
      <w:pPr>
        <w:numPr>
          <w:ilvl w:val="0"/>
          <w:numId w:val="29"/>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布撤展工作应符合GB/T 50326、WW/T 0089、WW/T 0018、WW/T 0019等标准要求；涉及临时用电、高处作业、动火作业等特种作业的，应严格履行作业许可审批程序。</w:t>
      </w:r>
    </w:p>
    <w:p w14:paraId="5D5A753E">
      <w:pPr>
        <w:pStyle w:val="36"/>
        <w:spacing w:before="120" w:after="120"/>
        <w:rPr>
          <w:rFonts w:ascii="Times New Roman"/>
        </w:rPr>
      </w:pPr>
      <w:bookmarkStart w:id="334" w:name="_Toc19604"/>
      <w:bookmarkStart w:id="335" w:name="_Toc31513"/>
      <w:bookmarkStart w:id="336" w:name="_Toc11209"/>
      <w:bookmarkStart w:id="337" w:name="_Toc18434"/>
      <w:bookmarkStart w:id="338" w:name="_Toc14809"/>
      <w:bookmarkStart w:id="339" w:name="_Toc5226"/>
      <w:bookmarkStart w:id="340" w:name="_Toc8863"/>
      <w:bookmarkStart w:id="341" w:name="_Toc11119"/>
      <w:bookmarkStart w:id="342" w:name="_Toc13825"/>
      <w:bookmarkStart w:id="343" w:name="_Toc4505"/>
      <w:bookmarkStart w:id="344" w:name="_Toc30698"/>
      <w:bookmarkStart w:id="345" w:name="_Toc18135"/>
      <w:bookmarkStart w:id="346" w:name="_Toc19740"/>
      <w:bookmarkStart w:id="347" w:name="_Toc14866"/>
      <w:bookmarkStart w:id="348" w:name="_Toc12516"/>
      <w:bookmarkStart w:id="349" w:name="_Toc14059"/>
      <w:bookmarkStart w:id="350" w:name="_Toc15603"/>
      <w:bookmarkStart w:id="351" w:name="_Toc8805"/>
      <w:bookmarkStart w:id="352" w:name="_Toc25395"/>
      <w:r>
        <w:rPr>
          <w:rFonts w:ascii="Times New Roman"/>
        </w:rPr>
        <w:t>重点部位</w:t>
      </w:r>
      <w:r>
        <w:rPr>
          <w:rFonts w:hint="eastAsia" w:ascii="Times New Roman"/>
        </w:rPr>
        <w:t>安全</w:t>
      </w:r>
      <w:r>
        <w:rPr>
          <w:rFonts w:ascii="Times New Roman"/>
        </w:rPr>
        <w:t>管理</w:t>
      </w:r>
      <w:bookmarkEnd w:id="334"/>
      <w:bookmarkEnd w:id="335"/>
      <w:bookmarkEnd w:id="336"/>
      <w:bookmarkEnd w:id="337"/>
      <w:bookmarkEnd w:id="338"/>
      <w:bookmarkEnd w:id="339"/>
      <w:bookmarkEnd w:id="340"/>
      <w:bookmarkEnd w:id="341"/>
    </w:p>
    <w:p w14:paraId="0969B3C9">
      <w:pPr>
        <w:numPr>
          <w:ilvl w:val="0"/>
          <w:numId w:val="3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重点部位</w:t>
      </w:r>
      <w:r>
        <w:rPr>
          <w:rFonts w:hint="eastAsia" w:ascii="Times New Roman" w:hAnsi="Times New Roman"/>
        </w:rPr>
        <w:t>宜</w:t>
      </w:r>
      <w:r>
        <w:rPr>
          <w:rFonts w:hint="eastAsia" w:ascii="Times New Roman" w:hAnsi="Times New Roman"/>
          <w:lang w:val="en-GB"/>
        </w:rPr>
        <w:t>包括但不限于以下范围：</w:t>
      </w:r>
    </w:p>
    <w:p w14:paraId="6AA4DCD5">
      <w:pPr>
        <w:pStyle w:val="37"/>
        <w:numPr>
          <w:ilvl w:val="0"/>
          <w:numId w:val="32"/>
        </w:numPr>
        <w:spacing w:line="240" w:lineRule="auto"/>
        <w:ind w:left="0" w:leftChars="0" w:firstLine="420" w:firstLineChars="200"/>
        <w:rPr>
          <w:lang w:val="en-GB"/>
        </w:rPr>
      </w:pPr>
      <w:r>
        <w:rPr>
          <w:rFonts w:hint="eastAsia"/>
          <w:lang w:val="en-GB"/>
        </w:rPr>
        <w:t>文物相关的部位：藏品库房、展览展厅、文物修复室、藏品装卸交接区等；</w:t>
      </w:r>
    </w:p>
    <w:p w14:paraId="640DAA85">
      <w:pPr>
        <w:pStyle w:val="37"/>
        <w:numPr>
          <w:ilvl w:val="0"/>
          <w:numId w:val="32"/>
        </w:numPr>
        <w:spacing w:line="240" w:lineRule="auto"/>
        <w:ind w:left="0" w:leftChars="0" w:firstLine="420" w:firstLineChars="200"/>
        <w:rPr>
          <w:lang w:val="en-GB"/>
        </w:rPr>
      </w:pPr>
      <w:r>
        <w:rPr>
          <w:rFonts w:hint="eastAsia"/>
          <w:lang w:val="en-GB"/>
        </w:rPr>
        <w:t>人员密集及通行相关的部位：场馆</w:t>
      </w:r>
      <w:r>
        <w:rPr>
          <w:rFonts w:hint="eastAsia"/>
        </w:rPr>
        <w:t>周界、</w:t>
      </w:r>
      <w:r>
        <w:rPr>
          <w:rFonts w:hint="eastAsia"/>
          <w:lang w:val="en-GB"/>
        </w:rPr>
        <w:t>出入口、</w:t>
      </w:r>
      <w:r>
        <w:rPr>
          <w:rFonts w:hint="eastAsia"/>
        </w:rPr>
        <w:t>观众</w:t>
      </w:r>
      <w:r>
        <w:rPr>
          <w:rFonts w:hint="eastAsia"/>
          <w:lang w:val="en-GB"/>
        </w:rPr>
        <w:t>服务区域、</w:t>
      </w:r>
      <w:r>
        <w:rPr>
          <w:rFonts w:hint="eastAsia"/>
        </w:rPr>
        <w:t>参观通道瓶颈点、观众服务设施</w:t>
      </w:r>
      <w:r>
        <w:rPr>
          <w:rFonts w:hint="eastAsia"/>
          <w:lang w:val="en-GB"/>
        </w:rPr>
        <w:t>区域</w:t>
      </w:r>
      <w:r>
        <w:rPr>
          <w:rFonts w:hint="eastAsia"/>
        </w:rPr>
        <w:t>等</w:t>
      </w:r>
      <w:r>
        <w:rPr>
          <w:rFonts w:hint="eastAsia"/>
          <w:lang w:val="en-GB"/>
        </w:rPr>
        <w:t>；</w:t>
      </w:r>
    </w:p>
    <w:p w14:paraId="45265B23">
      <w:pPr>
        <w:pStyle w:val="37"/>
        <w:numPr>
          <w:ilvl w:val="0"/>
          <w:numId w:val="32"/>
        </w:numPr>
        <w:spacing w:line="240" w:lineRule="auto"/>
        <w:ind w:left="0" w:leftChars="0" w:firstLine="420" w:firstLineChars="200"/>
        <w:rPr>
          <w:lang w:val="en-GB"/>
        </w:rPr>
      </w:pPr>
      <w:r>
        <w:rPr>
          <w:rFonts w:hint="eastAsia"/>
          <w:lang w:val="en-GB"/>
        </w:rPr>
        <w:t>设施设备核心部位：监控中心、重要机房、强弱电间</w:t>
      </w:r>
      <w:r>
        <w:rPr>
          <w:rFonts w:hint="eastAsia"/>
        </w:rPr>
        <w:t>等</w:t>
      </w:r>
      <w:r>
        <w:rPr>
          <w:rFonts w:hint="eastAsia"/>
          <w:lang w:val="en-GB"/>
        </w:rPr>
        <w:t>；</w:t>
      </w:r>
    </w:p>
    <w:p w14:paraId="6EA2ECEC">
      <w:pPr>
        <w:pStyle w:val="37"/>
        <w:numPr>
          <w:ilvl w:val="0"/>
          <w:numId w:val="32"/>
        </w:numPr>
        <w:spacing w:line="240" w:lineRule="auto"/>
        <w:ind w:left="0" w:leftChars="0" w:firstLine="420" w:firstLineChars="200"/>
        <w:rPr>
          <w:lang w:val="en-GB"/>
        </w:rPr>
      </w:pPr>
      <w:r>
        <w:rPr>
          <w:rFonts w:hint="eastAsia"/>
          <w:lang w:val="en-GB"/>
        </w:rPr>
        <w:t>易引发重大安全生产事故的部位：锅炉房、危化品库房、</w:t>
      </w:r>
      <w:r>
        <w:rPr>
          <w:rFonts w:hint="eastAsia"/>
        </w:rPr>
        <w:t>实验室、</w:t>
      </w:r>
      <w:r>
        <w:rPr>
          <w:rFonts w:hint="eastAsia"/>
          <w:lang w:val="en-GB"/>
        </w:rPr>
        <w:t>天然气使用区域、有限空间、</w:t>
      </w:r>
      <w:r>
        <w:rPr>
          <w:rFonts w:hint="eastAsia"/>
        </w:rPr>
        <w:t>辐射及高压等特殊设备使用场所</w:t>
      </w:r>
      <w:r>
        <w:rPr>
          <w:rFonts w:hint="eastAsia"/>
          <w:lang w:val="en-GB"/>
        </w:rPr>
        <w:t>等；</w:t>
      </w:r>
    </w:p>
    <w:p w14:paraId="3C1293F5">
      <w:pPr>
        <w:pStyle w:val="37"/>
        <w:numPr>
          <w:ilvl w:val="0"/>
          <w:numId w:val="32"/>
        </w:numPr>
        <w:spacing w:line="240" w:lineRule="auto"/>
        <w:ind w:left="0" w:leftChars="0" w:firstLine="420" w:firstLineChars="200"/>
        <w:rPr>
          <w:lang w:val="en-GB"/>
        </w:rPr>
      </w:pPr>
      <w:r>
        <w:rPr>
          <w:rFonts w:hint="eastAsia"/>
          <w:lang w:val="en-GB"/>
        </w:rPr>
        <w:t>涉密及重要财务部位：档案室、财务室等；</w:t>
      </w:r>
    </w:p>
    <w:p w14:paraId="51F228CD">
      <w:pPr>
        <w:pStyle w:val="37"/>
        <w:numPr>
          <w:ilvl w:val="0"/>
          <w:numId w:val="32"/>
        </w:numPr>
        <w:spacing w:line="240" w:lineRule="auto"/>
        <w:ind w:left="0" w:leftChars="0" w:firstLine="420" w:firstLineChars="200"/>
        <w:rPr>
          <w:lang w:val="en-GB"/>
        </w:rPr>
      </w:pPr>
      <w:r>
        <w:rPr>
          <w:rFonts w:hint="eastAsia"/>
        </w:rPr>
        <w:t>博物馆</w:t>
      </w:r>
      <w:r>
        <w:rPr>
          <w:rFonts w:hint="eastAsia"/>
          <w:lang w:val="en-GB"/>
        </w:rPr>
        <w:t>根据风险评估确定的其他</w:t>
      </w:r>
      <w:r>
        <w:rPr>
          <w:rFonts w:hint="eastAsia"/>
        </w:rPr>
        <w:t>应重点防范的部位</w:t>
      </w:r>
      <w:r>
        <w:rPr>
          <w:rFonts w:hint="eastAsia"/>
          <w:lang w:val="en-GB"/>
        </w:rPr>
        <w:t>。</w:t>
      </w:r>
    </w:p>
    <w:p w14:paraId="40E3BC68">
      <w:pPr>
        <w:numPr>
          <w:ilvl w:val="0"/>
          <w:numId w:val="3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应</w:t>
      </w:r>
      <w:r>
        <w:rPr>
          <w:rFonts w:hint="eastAsia" w:ascii="Times New Roman" w:hAnsi="Times New Roman"/>
          <w:lang w:val="en-GB"/>
        </w:rPr>
        <w:t>建立</w:t>
      </w:r>
      <w:r>
        <w:rPr>
          <w:rFonts w:hint="eastAsia" w:ascii="Times New Roman" w:hAnsi="Times New Roman"/>
        </w:rPr>
        <w:t>重点部位</w:t>
      </w:r>
      <w:r>
        <w:rPr>
          <w:rFonts w:hint="eastAsia" w:ascii="Times New Roman" w:hAnsi="Times New Roman"/>
          <w:lang w:val="en-GB"/>
        </w:rPr>
        <w:t>分级分类管理台账，明确各重点部位的责任部门、责任主体及管理职责。</w:t>
      </w:r>
    </w:p>
    <w:p w14:paraId="38E89C13">
      <w:pPr>
        <w:numPr>
          <w:ilvl w:val="0"/>
          <w:numId w:val="3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lang w:val="en-GB"/>
        </w:rPr>
        <w:t>重点部位周边应设置标志物或设立安全警戒线，执行人员进出审批及登记制度。</w:t>
      </w:r>
    </w:p>
    <w:p w14:paraId="69406C9F">
      <w:pPr>
        <w:numPr>
          <w:ilvl w:val="0"/>
          <w:numId w:val="31"/>
        </w:numPr>
        <w:tabs>
          <w:tab w:val="left" w:pos="312"/>
          <w:tab w:val="left" w:pos="960"/>
          <w:tab w:val="left" w:pos="1200"/>
          <w:tab w:val="clear" w:pos="0"/>
        </w:tabs>
        <w:spacing w:line="300" w:lineRule="auto"/>
        <w:rPr>
          <w:rFonts w:ascii="Times New Roman" w:hAnsi="Times New Roman"/>
          <w:lang w:val="en-GB"/>
        </w:rPr>
      </w:pPr>
      <w:r>
        <w:rPr>
          <w:rFonts w:hint="eastAsia" w:ascii="Times New Roman" w:hAnsi="Times New Roman"/>
        </w:rPr>
        <w:t>重点部位</w:t>
      </w:r>
      <w:r>
        <w:rPr>
          <w:rFonts w:hint="eastAsia" w:ascii="Times New Roman" w:hAnsi="Times New Roman"/>
          <w:lang w:val="en-GB"/>
        </w:rPr>
        <w:t>应采取设置专人值守岗位、加密巡查频次、强化自动化控制及视频监控系统等管控措施。</w:t>
      </w:r>
    </w:p>
    <w:p w14:paraId="65CE52EB">
      <w:pPr>
        <w:pStyle w:val="36"/>
        <w:spacing w:before="120" w:after="120"/>
        <w:rPr>
          <w:rFonts w:ascii="Times New Roman"/>
        </w:rPr>
      </w:pPr>
      <w:bookmarkStart w:id="353" w:name="_Toc25474"/>
      <w:r>
        <w:rPr>
          <w:rFonts w:ascii="Times New Roman"/>
        </w:rPr>
        <w:t>临时性活动</w:t>
      </w:r>
      <w:r>
        <w:rPr>
          <w:rFonts w:hint="eastAsia" w:ascii="Times New Roman"/>
        </w:rPr>
        <w:t>安全监管</w:t>
      </w:r>
      <w:bookmarkEnd w:id="342"/>
      <w:bookmarkEnd w:id="343"/>
      <w:bookmarkEnd w:id="344"/>
      <w:bookmarkEnd w:id="345"/>
      <w:bookmarkEnd w:id="346"/>
      <w:bookmarkEnd w:id="347"/>
      <w:bookmarkEnd w:id="348"/>
      <w:bookmarkEnd w:id="349"/>
      <w:bookmarkEnd w:id="350"/>
      <w:bookmarkEnd w:id="351"/>
      <w:bookmarkEnd w:id="352"/>
      <w:bookmarkEnd w:id="353"/>
    </w:p>
    <w:p w14:paraId="4EDAB13F">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应根据GB/T 33170标准，对临时性活动的人员资质、设备设施性能、物品安全属性、活动场地条件及周边环境状况等开展安全评估。</w:t>
      </w:r>
    </w:p>
    <w:p w14:paraId="2D1E6744">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作为临时性活动承办者时，应编制临时性活动安全保卫专项工作方案，明确安全措施、安全工作人员岗位职责及应急处置职责。</w:t>
      </w:r>
    </w:p>
    <w:p w14:paraId="5D0A4236">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作为临时性活动场所提供者时，应提供符合国家相关安全标准及安全管理规定的场所与设施。临建设施应符合</w:t>
      </w:r>
      <w:r>
        <w:rPr>
          <w:rFonts w:ascii="Times New Roman" w:hAnsi="Times New Roman"/>
        </w:rPr>
        <w:t>GB/T</w:t>
      </w:r>
      <w:r>
        <w:rPr>
          <w:rFonts w:hint="eastAsia" w:ascii="Times New Roman" w:hAnsi="Times New Roman"/>
        </w:rPr>
        <w:t xml:space="preserve"> </w:t>
      </w:r>
      <w:r>
        <w:rPr>
          <w:rFonts w:ascii="Times New Roman" w:hAnsi="Times New Roman"/>
        </w:rPr>
        <w:t>33170.4</w:t>
      </w:r>
      <w:r>
        <w:rPr>
          <w:rFonts w:hint="eastAsia" w:ascii="Times New Roman" w:hAnsi="Times New Roman"/>
        </w:rPr>
        <w:t>标准要求。</w:t>
      </w:r>
    </w:p>
    <w:p w14:paraId="26CDF74F">
      <w:pPr>
        <w:numPr>
          <w:ilvl w:val="255"/>
          <w:numId w:val="0"/>
        </w:numPr>
        <w:tabs>
          <w:tab w:val="left" w:pos="312"/>
          <w:tab w:val="left" w:pos="960"/>
          <w:tab w:val="left" w:pos="1200"/>
        </w:tabs>
        <w:adjustRightInd/>
        <w:spacing w:line="300" w:lineRule="auto"/>
        <w:ind w:firstLine="419" w:firstLineChars="233"/>
        <w:rPr>
          <w:rFonts w:ascii="Times New Roman" w:hAnsi="Times New Roman"/>
        </w:rPr>
      </w:pPr>
      <w:r>
        <w:rPr>
          <w:rFonts w:hint="eastAsia" w:ascii="Times New Roman" w:hAnsi="Times New Roman" w:eastAsia="黑体" w:cs="黑体"/>
          <w:sz w:val="18"/>
          <w:szCs w:val="18"/>
        </w:rPr>
        <w:t>注：</w:t>
      </w:r>
      <w:r>
        <w:rPr>
          <w:rFonts w:hint="eastAsia" w:ascii="Times New Roman" w:hAnsi="Times New Roman" w:cs="宋体"/>
          <w:sz w:val="18"/>
          <w:szCs w:val="18"/>
        </w:rPr>
        <w:t>根据GB/T 33170.1-2016定义，承办者指以自身名义发起，或受其他单位委托并召集举办大型活动的法人或其他机构。</w:t>
      </w:r>
    </w:p>
    <w:p w14:paraId="2BC9C3D9">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应设置人流集散区域及疏散通道，明确人员集散路线，制定应急处置措施。</w:t>
      </w:r>
    </w:p>
    <w:p w14:paraId="73771B0E">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针对因临时性活动新增的车辆，应预先制定车辆专项管理方案，合理规划道路通行走向，增设临时停车区域。</w:t>
      </w:r>
    </w:p>
    <w:p w14:paraId="637D64FA">
      <w:pPr>
        <w:numPr>
          <w:ilvl w:val="0"/>
          <w:numId w:val="33"/>
        </w:numPr>
        <w:tabs>
          <w:tab w:val="left" w:pos="312"/>
          <w:tab w:val="left" w:pos="960"/>
          <w:tab w:val="left" w:pos="1200"/>
          <w:tab w:val="clear" w:pos="0"/>
        </w:tabs>
        <w:adjustRightInd/>
        <w:spacing w:line="300" w:lineRule="auto"/>
        <w:rPr>
          <w:rFonts w:ascii="Times New Roman" w:hAnsi="Times New Roman"/>
        </w:rPr>
      </w:pPr>
      <w:r>
        <w:rPr>
          <w:rFonts w:hint="eastAsia" w:ascii="Times New Roman" w:hAnsi="Times New Roman"/>
        </w:rPr>
        <w:t>应明确临时性活动全过程的信息沟通机制，关注活动安排、场地布局、设施布置与运行状态、人员信息、外部环境的动态变化。</w:t>
      </w:r>
    </w:p>
    <w:p w14:paraId="156785D8">
      <w:pPr>
        <w:pStyle w:val="33"/>
        <w:spacing w:before="240" w:after="240"/>
        <w:rPr>
          <w:rFonts w:ascii="Times New Roman"/>
        </w:rPr>
      </w:pPr>
      <w:bookmarkStart w:id="354" w:name="_Toc18680"/>
      <w:bookmarkStart w:id="355" w:name="_Toc2107"/>
      <w:bookmarkStart w:id="356" w:name="_Toc15782"/>
      <w:bookmarkStart w:id="357" w:name="_Toc13745"/>
      <w:bookmarkStart w:id="358" w:name="_Toc30400"/>
      <w:bookmarkStart w:id="359" w:name="_Toc21554"/>
      <w:bookmarkStart w:id="360" w:name="_Toc31728"/>
      <w:bookmarkStart w:id="361" w:name="_Toc26208"/>
      <w:bookmarkStart w:id="362" w:name="_Toc6427"/>
      <w:bookmarkStart w:id="363" w:name="_Toc14859"/>
      <w:bookmarkStart w:id="364" w:name="_Toc32736"/>
      <w:r>
        <w:rPr>
          <w:rFonts w:hint="eastAsia" w:ascii="Times New Roman"/>
        </w:rPr>
        <w:t>应急管理</w:t>
      </w:r>
      <w:bookmarkEnd w:id="354"/>
      <w:bookmarkEnd w:id="355"/>
      <w:bookmarkEnd w:id="356"/>
      <w:bookmarkEnd w:id="357"/>
      <w:bookmarkEnd w:id="358"/>
      <w:bookmarkEnd w:id="359"/>
      <w:bookmarkEnd w:id="360"/>
      <w:bookmarkEnd w:id="361"/>
    </w:p>
    <w:p w14:paraId="470E2FCC">
      <w:pPr>
        <w:tabs>
          <w:tab w:val="left" w:pos="312"/>
          <w:tab w:val="left" w:pos="960"/>
          <w:tab w:val="left" w:pos="1200"/>
        </w:tabs>
        <w:snapToGrid w:val="0"/>
        <w:spacing w:line="300" w:lineRule="auto"/>
        <w:rPr>
          <w:rFonts w:ascii="Times New Roman" w:hAnsi="Times New Roman"/>
        </w:rPr>
      </w:pPr>
      <w:r>
        <w:rPr>
          <w:rFonts w:hint="eastAsia" w:ascii="Times New Roman" w:hAnsi="Times New Roman"/>
        </w:rPr>
        <w:t>8</w:t>
      </w:r>
      <w:r>
        <w:rPr>
          <w:rFonts w:ascii="Times New Roman" w:hAnsi="Times New Roman"/>
        </w:rPr>
        <w:t xml:space="preserve">.1 </w:t>
      </w:r>
      <w:r>
        <w:rPr>
          <w:rFonts w:hint="eastAsia" w:ascii="Times New Roman" w:hAnsi="Times New Roman"/>
        </w:rPr>
        <w:t>博物馆安全保卫领导机构应统筹安全保卫应急管理工作。</w:t>
      </w:r>
    </w:p>
    <w:p w14:paraId="4BE3F25F">
      <w:pPr>
        <w:tabs>
          <w:tab w:val="left" w:pos="312"/>
          <w:tab w:val="left" w:pos="960"/>
          <w:tab w:val="left" w:pos="1200"/>
        </w:tabs>
        <w:snapToGrid w:val="0"/>
        <w:spacing w:line="300" w:lineRule="auto"/>
        <w:rPr>
          <w:rFonts w:ascii="Times New Roman" w:hAnsi="Times New Roman"/>
        </w:rPr>
      </w:pPr>
      <w:r>
        <w:rPr>
          <w:rFonts w:hint="eastAsia" w:ascii="Times New Roman" w:hAnsi="Times New Roman"/>
        </w:rPr>
        <w:t>8</w:t>
      </w:r>
      <w:r>
        <w:rPr>
          <w:rFonts w:ascii="Times New Roman" w:hAnsi="Times New Roman"/>
        </w:rPr>
        <w:t xml:space="preserve">.2 </w:t>
      </w:r>
      <w:r>
        <w:rPr>
          <w:rFonts w:hint="eastAsia" w:ascii="Times New Roman" w:hAnsi="Times New Roman"/>
        </w:rPr>
        <w:t>应按照WW/T 0111</w:t>
      </w:r>
      <w:r>
        <w:rPr>
          <w:rFonts w:ascii="Times New Roman" w:hAnsi="Times New Roman"/>
        </w:rPr>
        <w:t>标准</w:t>
      </w:r>
      <w:r>
        <w:rPr>
          <w:rFonts w:hint="eastAsia" w:ascii="Times New Roman" w:hAnsi="Times New Roman"/>
        </w:rPr>
        <w:t>要求，编制应急预案、组织应急演练、配备应急物资。</w:t>
      </w:r>
    </w:p>
    <w:p w14:paraId="20571A50">
      <w:pPr>
        <w:tabs>
          <w:tab w:val="left" w:pos="312"/>
          <w:tab w:val="left" w:pos="960"/>
          <w:tab w:val="left" w:pos="1200"/>
        </w:tabs>
        <w:snapToGrid w:val="0"/>
        <w:spacing w:line="300" w:lineRule="auto"/>
        <w:rPr>
          <w:rFonts w:ascii="Times New Roman" w:hAnsi="Times New Roman"/>
        </w:rPr>
      </w:pPr>
      <w:r>
        <w:rPr>
          <w:rFonts w:hint="eastAsia" w:ascii="Times New Roman" w:hAnsi="Times New Roman"/>
        </w:rPr>
        <w:t>8</w:t>
      </w:r>
      <w:r>
        <w:rPr>
          <w:rFonts w:ascii="Times New Roman" w:hAnsi="Times New Roman"/>
        </w:rPr>
        <w:t xml:space="preserve">.3 </w:t>
      </w:r>
      <w:r>
        <w:rPr>
          <w:rFonts w:hint="eastAsia" w:ascii="Times New Roman" w:hAnsi="Times New Roman"/>
        </w:rPr>
        <w:t>发生突发事件后，现场人员应立即</w:t>
      </w:r>
      <w:r>
        <w:rPr>
          <w:rFonts w:ascii="Times New Roman" w:hAnsi="Times New Roman"/>
        </w:rPr>
        <w:t>启动</w:t>
      </w:r>
      <w:r>
        <w:rPr>
          <w:rFonts w:hint="eastAsia" w:ascii="Times New Roman" w:hAnsi="Times New Roman"/>
        </w:rPr>
        <w:t>先期处置</w:t>
      </w:r>
      <w:r>
        <w:rPr>
          <w:rFonts w:ascii="Times New Roman" w:hAnsi="Times New Roman"/>
        </w:rPr>
        <w:t>程序，</w:t>
      </w:r>
      <w:r>
        <w:rPr>
          <w:rFonts w:hint="eastAsia" w:ascii="Times New Roman" w:hAnsi="Times New Roman"/>
        </w:rPr>
        <w:t>并</w:t>
      </w:r>
      <w:r>
        <w:rPr>
          <w:rFonts w:ascii="Times New Roman" w:hAnsi="Times New Roman"/>
        </w:rPr>
        <w:t>按规定</w:t>
      </w:r>
      <w:r>
        <w:rPr>
          <w:rFonts w:hint="eastAsia" w:ascii="Times New Roman" w:hAnsi="Times New Roman"/>
        </w:rPr>
        <w:t>报送</w:t>
      </w:r>
      <w:r>
        <w:rPr>
          <w:rFonts w:ascii="Times New Roman" w:hAnsi="Times New Roman"/>
        </w:rPr>
        <w:t>突发事件</w:t>
      </w:r>
      <w:r>
        <w:rPr>
          <w:rFonts w:hint="eastAsia" w:ascii="Times New Roman" w:hAnsi="Times New Roman"/>
        </w:rPr>
        <w:t>信息，应急处置过程中应</w:t>
      </w:r>
      <w:r>
        <w:rPr>
          <w:rFonts w:ascii="Times New Roman" w:hAnsi="Times New Roman"/>
        </w:rPr>
        <w:t>优先保障人员生命安全，兼顾文物安全，必要时向相关主管部门及应急救援机构请求外部支援</w:t>
      </w:r>
      <w:r>
        <w:rPr>
          <w:rFonts w:hint="eastAsia" w:ascii="Times New Roman" w:hAnsi="Times New Roman"/>
        </w:rPr>
        <w:t>。</w:t>
      </w:r>
    </w:p>
    <w:p w14:paraId="600AEA59">
      <w:pPr>
        <w:tabs>
          <w:tab w:val="left" w:pos="312"/>
          <w:tab w:val="left" w:pos="960"/>
          <w:tab w:val="left" w:pos="1200"/>
        </w:tabs>
        <w:snapToGrid w:val="0"/>
        <w:spacing w:line="300" w:lineRule="auto"/>
        <w:rPr>
          <w:rFonts w:ascii="Times New Roman" w:hAnsi="Times New Roman"/>
        </w:rPr>
      </w:pPr>
      <w:r>
        <w:rPr>
          <w:rFonts w:hint="eastAsia" w:ascii="Times New Roman" w:hAnsi="Times New Roman"/>
        </w:rPr>
        <w:t>8</w:t>
      </w:r>
      <w:r>
        <w:rPr>
          <w:rFonts w:ascii="Times New Roman" w:hAnsi="Times New Roman"/>
        </w:rPr>
        <w:t>.4 应急处置工作结束后，</w:t>
      </w:r>
      <w:r>
        <w:rPr>
          <w:rFonts w:hint="eastAsia" w:ascii="Times New Roman" w:hAnsi="Times New Roman"/>
        </w:rPr>
        <w:t>应</w:t>
      </w:r>
      <w:r>
        <w:rPr>
          <w:rFonts w:ascii="Times New Roman" w:hAnsi="Times New Roman"/>
        </w:rPr>
        <w:t>组织开展</w:t>
      </w:r>
      <w:r>
        <w:rPr>
          <w:rFonts w:hint="eastAsia" w:ascii="Times New Roman" w:hAnsi="Times New Roman"/>
        </w:rPr>
        <w:t>善后</w:t>
      </w:r>
      <w:r>
        <w:rPr>
          <w:rFonts w:ascii="Times New Roman" w:hAnsi="Times New Roman"/>
        </w:rPr>
        <w:t>处置与恢复重建工作</w:t>
      </w:r>
      <w:r>
        <w:rPr>
          <w:rFonts w:hint="eastAsia" w:ascii="Times New Roman" w:hAnsi="Times New Roman"/>
        </w:rPr>
        <w:t>，并</w:t>
      </w:r>
      <w:r>
        <w:rPr>
          <w:rFonts w:ascii="Times New Roman" w:hAnsi="Times New Roman"/>
        </w:rPr>
        <w:t>对突发事件组织调查评估</w:t>
      </w:r>
      <w:r>
        <w:rPr>
          <w:rFonts w:hint="eastAsia" w:ascii="Times New Roman" w:hAnsi="Times New Roman"/>
        </w:rPr>
        <w:t>。</w:t>
      </w:r>
    </w:p>
    <w:p w14:paraId="3916CCDA">
      <w:pPr>
        <w:pStyle w:val="33"/>
        <w:spacing w:before="240" w:after="240"/>
        <w:rPr>
          <w:rFonts w:ascii="Times New Roman"/>
        </w:rPr>
      </w:pPr>
      <w:bookmarkStart w:id="365" w:name="_Toc11828"/>
      <w:bookmarkStart w:id="366" w:name="_Toc23080"/>
      <w:bookmarkStart w:id="367" w:name="_Toc16513"/>
      <w:bookmarkStart w:id="368" w:name="_Toc14029"/>
      <w:bookmarkStart w:id="369" w:name="_Toc5352"/>
      <w:bookmarkStart w:id="370" w:name="_Toc5023"/>
      <w:bookmarkStart w:id="371" w:name="_Toc4873"/>
      <w:bookmarkStart w:id="372" w:name="_Toc28696"/>
      <w:r>
        <w:rPr>
          <w:rFonts w:hint="eastAsia" w:ascii="Times New Roman"/>
        </w:rPr>
        <w:t>记录和改进</w:t>
      </w:r>
      <w:bookmarkEnd w:id="365"/>
      <w:bookmarkEnd w:id="366"/>
      <w:bookmarkEnd w:id="367"/>
      <w:bookmarkEnd w:id="368"/>
      <w:bookmarkEnd w:id="369"/>
      <w:bookmarkEnd w:id="370"/>
      <w:bookmarkEnd w:id="371"/>
      <w:bookmarkEnd w:id="372"/>
    </w:p>
    <w:p w14:paraId="7CEC67EF">
      <w:pPr>
        <w:pStyle w:val="19"/>
        <w:ind w:firstLine="0" w:firstLineChars="0"/>
        <w:rPr>
          <w:rFonts w:ascii="Times New Roman"/>
        </w:rPr>
      </w:pPr>
      <w:r>
        <w:rPr>
          <w:rFonts w:hint="eastAsia" w:ascii="Times New Roman"/>
        </w:rPr>
        <w:t>9.1 应</w:t>
      </w:r>
      <w:r>
        <w:rPr>
          <w:rFonts w:hint="eastAsia" w:ascii="Times New Roman"/>
          <w:lang w:val="en-GB"/>
        </w:rPr>
        <w:t>采用</w:t>
      </w:r>
      <w:r>
        <w:rPr>
          <w:rFonts w:hint="eastAsia" w:ascii="Times New Roman"/>
        </w:rPr>
        <w:t>文字、图片、录音、录像等方式，对安全保卫工作</w:t>
      </w:r>
      <w:r>
        <w:rPr>
          <w:rFonts w:hint="eastAsia" w:ascii="Times New Roman"/>
          <w:lang w:val="en-GB"/>
        </w:rPr>
        <w:t>全</w:t>
      </w:r>
      <w:r>
        <w:rPr>
          <w:rFonts w:hint="eastAsia" w:ascii="Times New Roman"/>
        </w:rPr>
        <w:t>过程</w:t>
      </w:r>
      <w:r>
        <w:rPr>
          <w:rFonts w:hint="eastAsia" w:ascii="Times New Roman"/>
          <w:lang w:val="en-GB"/>
        </w:rPr>
        <w:t>进行</w:t>
      </w:r>
      <w:r>
        <w:rPr>
          <w:rFonts w:hint="eastAsia" w:ascii="Times New Roman"/>
        </w:rPr>
        <w:t>记录，相关记录</w:t>
      </w:r>
      <w:r>
        <w:rPr>
          <w:rFonts w:hint="eastAsia" w:ascii="Times New Roman"/>
          <w:lang w:val="en-GB"/>
        </w:rPr>
        <w:t>的保存期限</w:t>
      </w:r>
      <w:r>
        <w:rPr>
          <w:rFonts w:hint="eastAsia" w:ascii="Times New Roman"/>
        </w:rPr>
        <w:t>不应少于3年，记录内容应包括但不限于：</w:t>
      </w:r>
    </w:p>
    <w:p w14:paraId="2233B843">
      <w:pPr>
        <w:pStyle w:val="37"/>
        <w:numPr>
          <w:ilvl w:val="0"/>
          <w:numId w:val="34"/>
        </w:numPr>
        <w:spacing w:line="240" w:lineRule="auto"/>
        <w:ind w:left="0" w:leftChars="0" w:firstLine="420" w:firstLineChars="200"/>
        <w:rPr>
          <w:lang w:val="en-GB"/>
        </w:rPr>
      </w:pPr>
      <w:r>
        <w:rPr>
          <w:rFonts w:hint="eastAsia"/>
          <w:lang w:val="en-GB"/>
        </w:rPr>
        <w:t>安全保卫机构</w:t>
      </w:r>
      <w:r>
        <w:rPr>
          <w:rFonts w:hint="eastAsia"/>
        </w:rPr>
        <w:t>设置</w:t>
      </w:r>
      <w:r>
        <w:rPr>
          <w:rFonts w:hint="eastAsia"/>
          <w:lang w:val="en-GB"/>
        </w:rPr>
        <w:t>及</w:t>
      </w:r>
      <w:r>
        <w:rPr>
          <w:rFonts w:hint="eastAsia"/>
        </w:rPr>
        <w:t>职责分工</w:t>
      </w:r>
      <w:r>
        <w:rPr>
          <w:rFonts w:hint="eastAsia"/>
          <w:lang w:val="en-GB"/>
        </w:rPr>
        <w:t>；</w:t>
      </w:r>
    </w:p>
    <w:p w14:paraId="1B4C8D0A">
      <w:pPr>
        <w:pStyle w:val="37"/>
        <w:numPr>
          <w:ilvl w:val="0"/>
          <w:numId w:val="34"/>
        </w:numPr>
        <w:spacing w:line="240" w:lineRule="auto"/>
        <w:ind w:left="0" w:leftChars="0" w:firstLine="420" w:firstLineChars="200"/>
        <w:rPr>
          <w:lang w:val="en-GB"/>
        </w:rPr>
      </w:pPr>
      <w:r>
        <w:rPr>
          <w:rFonts w:hint="eastAsia"/>
          <w:lang w:val="en-GB"/>
        </w:rPr>
        <w:t>安全保卫人员身份档案、权限记录、培训及考核</w:t>
      </w:r>
      <w:r>
        <w:rPr>
          <w:rFonts w:hint="eastAsia"/>
        </w:rPr>
        <w:t>记录；</w:t>
      </w:r>
    </w:p>
    <w:p w14:paraId="1A7BB084">
      <w:pPr>
        <w:pStyle w:val="37"/>
        <w:numPr>
          <w:ilvl w:val="0"/>
          <w:numId w:val="34"/>
        </w:numPr>
        <w:spacing w:line="240" w:lineRule="auto"/>
        <w:ind w:left="0" w:leftChars="0" w:firstLine="420" w:firstLineChars="200"/>
        <w:rPr>
          <w:lang w:val="en-GB"/>
        </w:rPr>
      </w:pPr>
      <w:r>
        <w:rPr>
          <w:rFonts w:hint="eastAsia"/>
          <w:lang w:val="en-GB"/>
        </w:rPr>
        <w:t>安全保卫管理制度</w:t>
      </w:r>
      <w:r>
        <w:rPr>
          <w:rFonts w:hint="eastAsia"/>
        </w:rPr>
        <w:t>及变更</w:t>
      </w:r>
      <w:r>
        <w:rPr>
          <w:rFonts w:hint="eastAsia"/>
          <w:lang w:val="en-GB"/>
        </w:rPr>
        <w:t>审批</w:t>
      </w:r>
      <w:r>
        <w:rPr>
          <w:rFonts w:hint="eastAsia"/>
        </w:rPr>
        <w:t>记录</w:t>
      </w:r>
      <w:r>
        <w:rPr>
          <w:rFonts w:hint="eastAsia"/>
          <w:lang w:val="en-GB"/>
        </w:rPr>
        <w:t>；</w:t>
      </w:r>
    </w:p>
    <w:p w14:paraId="6056EE94">
      <w:pPr>
        <w:pStyle w:val="37"/>
        <w:numPr>
          <w:ilvl w:val="0"/>
          <w:numId w:val="34"/>
        </w:numPr>
        <w:spacing w:line="240" w:lineRule="auto"/>
        <w:ind w:left="0" w:leftChars="0" w:firstLine="420" w:firstLineChars="200"/>
        <w:rPr>
          <w:lang w:val="en-GB"/>
        </w:rPr>
      </w:pPr>
      <w:r>
        <w:rPr>
          <w:rFonts w:hint="eastAsia"/>
          <w:lang w:val="en-GB"/>
        </w:rPr>
        <w:t>安全保卫检查巡查、</w:t>
      </w:r>
      <w:r>
        <w:rPr>
          <w:rFonts w:hint="eastAsia"/>
        </w:rPr>
        <w:t>检查</w:t>
      </w:r>
      <w:r>
        <w:rPr>
          <w:rFonts w:hint="eastAsia"/>
          <w:lang w:val="en-GB"/>
        </w:rPr>
        <w:t>记录；</w:t>
      </w:r>
    </w:p>
    <w:p w14:paraId="193F8708">
      <w:pPr>
        <w:pStyle w:val="37"/>
        <w:numPr>
          <w:ilvl w:val="0"/>
          <w:numId w:val="34"/>
        </w:numPr>
        <w:spacing w:line="240" w:lineRule="auto"/>
        <w:ind w:left="0" w:leftChars="0" w:firstLine="420" w:firstLineChars="200"/>
        <w:rPr>
          <w:lang w:val="en-GB"/>
        </w:rPr>
      </w:pPr>
      <w:r>
        <w:rPr>
          <w:rFonts w:hint="eastAsia"/>
        </w:rPr>
        <w:t>值班值守日志、交接班记录；</w:t>
      </w:r>
    </w:p>
    <w:p w14:paraId="6E5F9909">
      <w:pPr>
        <w:pStyle w:val="37"/>
        <w:numPr>
          <w:ilvl w:val="0"/>
          <w:numId w:val="34"/>
        </w:numPr>
        <w:spacing w:line="240" w:lineRule="auto"/>
        <w:ind w:left="0" w:leftChars="0" w:firstLine="420" w:firstLineChars="200"/>
        <w:rPr>
          <w:lang w:val="en-GB"/>
        </w:rPr>
      </w:pPr>
      <w:r>
        <w:rPr>
          <w:rFonts w:hint="eastAsia"/>
        </w:rPr>
        <w:t>展览活动审批</w:t>
      </w:r>
      <w:r>
        <w:rPr>
          <w:rFonts w:hint="eastAsia"/>
          <w:lang w:val="en-GB"/>
        </w:rPr>
        <w:t>材料</w:t>
      </w:r>
      <w:r>
        <w:rPr>
          <w:rFonts w:hint="eastAsia"/>
        </w:rPr>
        <w:t>、</w:t>
      </w:r>
      <w:r>
        <w:rPr>
          <w:rFonts w:hint="eastAsia"/>
          <w:lang w:val="en-GB"/>
        </w:rPr>
        <w:t>现场</w:t>
      </w:r>
      <w:r>
        <w:rPr>
          <w:rFonts w:hint="eastAsia"/>
        </w:rPr>
        <w:t>检查</w:t>
      </w:r>
      <w:r>
        <w:rPr>
          <w:rFonts w:hint="eastAsia"/>
          <w:lang w:val="en-GB"/>
        </w:rPr>
        <w:t>记录及</w:t>
      </w:r>
      <w:r>
        <w:rPr>
          <w:rFonts w:hint="eastAsia"/>
        </w:rPr>
        <w:t>验收</w:t>
      </w:r>
      <w:r>
        <w:rPr>
          <w:rFonts w:hint="eastAsia"/>
          <w:lang w:val="en-GB"/>
        </w:rPr>
        <w:t>报告</w:t>
      </w:r>
      <w:r>
        <w:rPr>
          <w:rFonts w:hint="eastAsia"/>
        </w:rPr>
        <w:t>；</w:t>
      </w:r>
    </w:p>
    <w:p w14:paraId="7BBCA0ED">
      <w:pPr>
        <w:pStyle w:val="37"/>
        <w:numPr>
          <w:ilvl w:val="0"/>
          <w:numId w:val="34"/>
        </w:numPr>
        <w:spacing w:line="240" w:lineRule="auto"/>
        <w:ind w:left="0" w:leftChars="0" w:firstLine="420" w:firstLineChars="200"/>
        <w:rPr>
          <w:lang w:val="en-GB"/>
        </w:rPr>
      </w:pPr>
      <w:r>
        <w:rPr>
          <w:rFonts w:hint="eastAsia"/>
          <w:lang w:val="en-GB"/>
        </w:rPr>
        <w:t>临时性活动</w:t>
      </w:r>
      <w:r>
        <w:rPr>
          <w:rFonts w:hint="eastAsia"/>
        </w:rPr>
        <w:t>审批</w:t>
      </w:r>
      <w:r>
        <w:rPr>
          <w:rFonts w:hint="eastAsia"/>
          <w:lang w:val="en-GB"/>
        </w:rPr>
        <w:t>材料</w:t>
      </w:r>
      <w:r>
        <w:rPr>
          <w:rFonts w:hint="eastAsia"/>
        </w:rPr>
        <w:t>、</w:t>
      </w:r>
      <w:r>
        <w:rPr>
          <w:rFonts w:hint="eastAsia"/>
          <w:lang w:val="en-GB"/>
        </w:rPr>
        <w:t>现场</w:t>
      </w:r>
      <w:r>
        <w:rPr>
          <w:rFonts w:hint="eastAsia"/>
        </w:rPr>
        <w:t>检查</w:t>
      </w:r>
      <w:r>
        <w:rPr>
          <w:rFonts w:hint="eastAsia"/>
          <w:lang w:val="en-GB"/>
        </w:rPr>
        <w:t>记录及</w:t>
      </w:r>
      <w:r>
        <w:rPr>
          <w:rFonts w:hint="eastAsia"/>
        </w:rPr>
        <w:t>验收</w:t>
      </w:r>
      <w:r>
        <w:rPr>
          <w:rFonts w:hint="eastAsia"/>
          <w:lang w:val="en-GB"/>
        </w:rPr>
        <w:t>报告</w:t>
      </w:r>
      <w:r>
        <w:rPr>
          <w:rFonts w:hint="eastAsia"/>
        </w:rPr>
        <w:t>；</w:t>
      </w:r>
    </w:p>
    <w:p w14:paraId="5615B82F">
      <w:pPr>
        <w:pStyle w:val="37"/>
        <w:numPr>
          <w:ilvl w:val="0"/>
          <w:numId w:val="34"/>
        </w:numPr>
        <w:spacing w:line="240" w:lineRule="auto"/>
        <w:ind w:left="0" w:leftChars="0" w:firstLine="420" w:firstLineChars="200"/>
        <w:rPr>
          <w:lang w:val="en-GB"/>
        </w:rPr>
      </w:pPr>
      <w:r>
        <w:rPr>
          <w:rFonts w:hint="eastAsia"/>
          <w:lang w:val="en-GB"/>
        </w:rPr>
        <w:t>重点部位管理台账、重点部位人员出入登记记录；</w:t>
      </w:r>
    </w:p>
    <w:p w14:paraId="73DBE3E6">
      <w:pPr>
        <w:pStyle w:val="37"/>
        <w:numPr>
          <w:ilvl w:val="0"/>
          <w:numId w:val="34"/>
        </w:numPr>
        <w:spacing w:line="240" w:lineRule="auto"/>
        <w:ind w:left="0" w:leftChars="0" w:firstLine="420" w:firstLineChars="200"/>
        <w:rPr>
          <w:lang w:val="en-GB"/>
        </w:rPr>
      </w:pPr>
      <w:r>
        <w:rPr>
          <w:rFonts w:hint="eastAsia"/>
          <w:lang w:val="en-GB"/>
        </w:rPr>
        <w:t>钥匙及门锁基础信息台账、维护保养记录</w:t>
      </w:r>
      <w:r>
        <w:rPr>
          <w:rFonts w:hint="eastAsia"/>
        </w:rPr>
        <w:t>；</w:t>
      </w:r>
    </w:p>
    <w:p w14:paraId="54391A42">
      <w:pPr>
        <w:pStyle w:val="37"/>
        <w:numPr>
          <w:ilvl w:val="0"/>
          <w:numId w:val="34"/>
        </w:numPr>
        <w:spacing w:line="240" w:lineRule="auto"/>
        <w:ind w:left="0" w:leftChars="0" w:firstLine="420" w:firstLineChars="200"/>
        <w:rPr>
          <w:lang w:val="en-GB"/>
        </w:rPr>
      </w:pPr>
      <w:r>
        <w:rPr>
          <w:rFonts w:hint="eastAsia"/>
          <w:lang w:val="en-GB"/>
        </w:rPr>
        <w:t>持证人员的基础信息（身份信息、生物特征等）台账、权限配置信息及权限变更控制记录；</w:t>
      </w:r>
    </w:p>
    <w:p w14:paraId="2F78AAC3">
      <w:pPr>
        <w:pStyle w:val="37"/>
        <w:numPr>
          <w:ilvl w:val="0"/>
          <w:numId w:val="34"/>
        </w:numPr>
        <w:spacing w:line="240" w:lineRule="auto"/>
        <w:ind w:left="0" w:leftChars="0" w:firstLine="420" w:firstLineChars="200"/>
        <w:rPr>
          <w:lang w:val="en-GB"/>
        </w:rPr>
      </w:pPr>
      <w:r>
        <w:rPr>
          <w:rFonts w:hint="eastAsia"/>
          <w:lang w:val="en-GB"/>
        </w:rPr>
        <w:t>电子防范系统基础信息台账、运行日志及维护保养记录；</w:t>
      </w:r>
    </w:p>
    <w:p w14:paraId="7567E7E0">
      <w:pPr>
        <w:pStyle w:val="37"/>
        <w:numPr>
          <w:ilvl w:val="0"/>
          <w:numId w:val="34"/>
        </w:numPr>
        <w:spacing w:line="240" w:lineRule="auto"/>
        <w:ind w:left="0" w:leftChars="0" w:firstLine="420" w:firstLineChars="200"/>
        <w:rPr>
          <w:lang w:val="en-GB"/>
        </w:rPr>
      </w:pPr>
      <w:r>
        <w:rPr>
          <w:rFonts w:hint="eastAsia"/>
          <w:lang w:val="en-GB"/>
        </w:rPr>
        <w:t>安全风险辨识清单及隐患排查治理台账；</w:t>
      </w:r>
    </w:p>
    <w:p w14:paraId="50AF16FF">
      <w:pPr>
        <w:pStyle w:val="37"/>
        <w:numPr>
          <w:ilvl w:val="0"/>
          <w:numId w:val="34"/>
        </w:numPr>
        <w:spacing w:line="240" w:lineRule="auto"/>
        <w:ind w:left="0" w:leftChars="0" w:firstLine="420" w:firstLineChars="200"/>
        <w:rPr>
          <w:lang w:val="en-GB"/>
        </w:rPr>
      </w:pPr>
      <w:r>
        <w:rPr>
          <w:rFonts w:hint="eastAsia"/>
          <w:lang w:val="en-GB"/>
        </w:rPr>
        <w:t>安全保卫设备设施清单及资产台账；</w:t>
      </w:r>
    </w:p>
    <w:p w14:paraId="01E34F4F">
      <w:pPr>
        <w:pStyle w:val="37"/>
        <w:numPr>
          <w:ilvl w:val="0"/>
          <w:numId w:val="34"/>
        </w:numPr>
        <w:spacing w:line="240" w:lineRule="auto"/>
        <w:ind w:left="0" w:leftChars="0" w:firstLine="420" w:firstLineChars="200"/>
        <w:rPr>
          <w:lang w:val="en-GB"/>
        </w:rPr>
      </w:pPr>
      <w:r>
        <w:rPr>
          <w:rFonts w:hint="eastAsia"/>
        </w:rPr>
        <w:t>周边</w:t>
      </w:r>
      <w:r>
        <w:rPr>
          <w:rFonts w:hint="eastAsia"/>
          <w:lang w:val="en-GB"/>
        </w:rPr>
        <w:t>应急</w:t>
      </w:r>
      <w:r>
        <w:rPr>
          <w:rFonts w:hint="eastAsia"/>
        </w:rPr>
        <w:t>资源</w:t>
      </w:r>
      <w:r>
        <w:rPr>
          <w:rFonts w:hint="eastAsia"/>
          <w:lang w:val="en-GB"/>
        </w:rPr>
        <w:t>及联防</w:t>
      </w:r>
      <w:r>
        <w:rPr>
          <w:rFonts w:hint="eastAsia"/>
        </w:rPr>
        <w:t>力量信息</w:t>
      </w:r>
      <w:r>
        <w:rPr>
          <w:rFonts w:hint="eastAsia"/>
          <w:lang w:val="en-GB"/>
        </w:rPr>
        <w:t>台账</w:t>
      </w:r>
      <w:r>
        <w:rPr>
          <w:rFonts w:hint="eastAsia"/>
        </w:rPr>
        <w:t>；</w:t>
      </w:r>
    </w:p>
    <w:p w14:paraId="0821F45C">
      <w:pPr>
        <w:pStyle w:val="37"/>
        <w:numPr>
          <w:ilvl w:val="0"/>
          <w:numId w:val="34"/>
        </w:numPr>
        <w:spacing w:line="240" w:lineRule="auto"/>
        <w:ind w:left="0" w:leftChars="0" w:firstLine="420" w:firstLineChars="200"/>
        <w:rPr>
          <w:lang w:val="en-GB"/>
        </w:rPr>
      </w:pPr>
      <w:r>
        <w:rPr>
          <w:rFonts w:hint="eastAsia"/>
          <w:lang w:val="en-GB"/>
        </w:rPr>
        <w:t>其他与安全保卫工作相关的记录。</w:t>
      </w:r>
    </w:p>
    <w:p w14:paraId="5C6D06C6">
      <w:pPr>
        <w:pStyle w:val="19"/>
        <w:ind w:firstLine="0" w:firstLineChars="0"/>
        <w:rPr>
          <w:rFonts w:hint="eastAsia" w:ascii="Times New Roman"/>
        </w:rPr>
      </w:pPr>
      <w:r>
        <w:rPr>
          <w:rFonts w:hint="eastAsia" w:ascii="Times New Roman"/>
        </w:rPr>
        <w:t>9.2 应定期依据安全保卫工作全过程记录文件，开展合规性分析。核查安全保卫工作及记录管理是否符合相关标准及管理制度要求，及时识别工作短板与管理漏洞，剖析问题成因并制定针对性整改措施，形成安全保卫工作持续改进的闭环管理机制。</w:t>
      </w:r>
    </w:p>
    <w:p w14:paraId="036F579D">
      <w:pPr>
        <w:bidi w:val="0"/>
        <w:rPr>
          <w:rFonts w:hint="eastAsia"/>
        </w:rPr>
      </w:pPr>
    </w:p>
    <w:p w14:paraId="2E3EE766">
      <w:pPr>
        <w:bidi w:val="0"/>
        <w:rPr>
          <w:rFonts w:hint="eastAsia"/>
        </w:rPr>
      </w:pPr>
    </w:p>
    <w:p w14:paraId="0BC9A493">
      <w:pPr>
        <w:bidi w:val="0"/>
        <w:rPr>
          <w:rFonts w:hint="eastAsia"/>
        </w:rPr>
      </w:pPr>
    </w:p>
    <w:p w14:paraId="152958C7">
      <w:pPr>
        <w:bidi w:val="0"/>
        <w:rPr>
          <w:rFonts w:hint="eastAsia"/>
        </w:rPr>
      </w:pPr>
    </w:p>
    <w:p w14:paraId="598622D5">
      <w:pPr>
        <w:bidi w:val="0"/>
        <w:rPr>
          <w:rFonts w:hint="eastAsia"/>
        </w:rPr>
      </w:pPr>
    </w:p>
    <w:p w14:paraId="72E64FCF">
      <w:pPr>
        <w:bidi w:val="0"/>
        <w:rPr>
          <w:rFonts w:hint="eastAsia"/>
        </w:rPr>
      </w:pPr>
    </w:p>
    <w:p w14:paraId="4196B375">
      <w:pPr>
        <w:bidi w:val="0"/>
        <w:rPr>
          <w:rFonts w:hint="eastAsia"/>
        </w:rPr>
      </w:pPr>
    </w:p>
    <w:p w14:paraId="12916D9A">
      <w:pPr>
        <w:bidi w:val="0"/>
        <w:rPr>
          <w:rFonts w:hint="eastAsia"/>
        </w:rPr>
      </w:pPr>
    </w:p>
    <w:p w14:paraId="0D47F227">
      <w:pPr>
        <w:bidi w:val="0"/>
        <w:rPr>
          <w:rFonts w:hint="eastAsia"/>
        </w:rPr>
      </w:pPr>
    </w:p>
    <w:p w14:paraId="7F30D82B">
      <w:pPr>
        <w:bidi w:val="0"/>
        <w:rPr>
          <w:rFonts w:hint="eastAsia"/>
        </w:rPr>
      </w:pPr>
    </w:p>
    <w:p w14:paraId="50622E4B">
      <w:pPr>
        <w:bidi w:val="0"/>
        <w:rPr>
          <w:rFonts w:hint="eastAsia"/>
        </w:rPr>
      </w:pPr>
    </w:p>
    <w:p w14:paraId="0F530BAA">
      <w:pPr>
        <w:bidi w:val="0"/>
        <w:rPr>
          <w:rFonts w:hint="eastAsia"/>
        </w:rPr>
      </w:pPr>
    </w:p>
    <w:p w14:paraId="66C65041">
      <w:pPr>
        <w:bidi w:val="0"/>
        <w:rPr>
          <w:rFonts w:hint="eastAsia"/>
        </w:rPr>
      </w:pPr>
    </w:p>
    <w:p w14:paraId="507C07AF">
      <w:pPr>
        <w:tabs>
          <w:tab w:val="left" w:pos="5590"/>
        </w:tabs>
        <w:bidi w:val="0"/>
        <w:jc w:val="left"/>
        <w:rPr>
          <w:rFonts w:hint="eastAsia" w:eastAsia="宋体"/>
          <w:lang w:eastAsia="zh-CN"/>
        </w:rPr>
        <w:sectPr>
          <w:headerReference r:id="rId13" w:type="default"/>
          <w:footerReference r:id="rId14" w:type="default"/>
          <w:pgSz w:w="11906" w:h="16838"/>
          <w:pgMar w:top="1871" w:right="1134" w:bottom="1134" w:left="1134" w:header="1418" w:footer="1247" w:gutter="284"/>
          <w:pgNumType w:start="1"/>
          <w:cols w:space="425" w:num="1"/>
          <w:formProt w:val="0"/>
          <w:docGrid w:linePitch="312" w:charSpace="0"/>
        </w:sectPr>
      </w:pPr>
      <w:r>
        <w:rPr>
          <w:rFonts w:hint="eastAsia"/>
          <w:lang w:eastAsia="zh-CN"/>
        </w:rPr>
        <w:tab/>
      </w:r>
    </w:p>
    <w:p w14:paraId="2FF74C23">
      <w:pPr>
        <w:pStyle w:val="40"/>
        <w:widowControl w:val="0"/>
        <w:numPr>
          <w:ilvl w:val="0"/>
          <w:numId w:val="0"/>
        </w:numPr>
        <w:tabs>
          <w:tab w:val="left" w:pos="284"/>
        </w:tabs>
        <w:spacing w:before="240" w:beforeLines="100" w:after="240" w:afterLines="100"/>
        <w:jc w:val="center"/>
        <w:outlineLvl w:val="0"/>
        <w:rPr>
          <w:rFonts w:ascii="Times New Roman"/>
        </w:rPr>
      </w:pPr>
      <w:bookmarkStart w:id="373" w:name="_Toc12542"/>
      <w:bookmarkStart w:id="374" w:name="_Toc139035549"/>
      <w:bookmarkStart w:id="375" w:name="_Toc16781"/>
      <w:bookmarkStart w:id="376" w:name="_Toc18822"/>
      <w:bookmarkStart w:id="377" w:name="_Toc28886"/>
      <w:bookmarkStart w:id="378" w:name="_Toc25959"/>
      <w:bookmarkStart w:id="379" w:name="_Toc23741"/>
      <w:bookmarkStart w:id="380" w:name="_Toc477"/>
      <w:bookmarkStart w:id="381" w:name="_Toc4312"/>
      <w:bookmarkStart w:id="382" w:name="_Toc18431"/>
      <w:bookmarkStart w:id="383" w:name="_Toc12886"/>
      <w:bookmarkStart w:id="384" w:name="_Toc9472"/>
      <w:bookmarkStart w:id="385" w:name="_Toc28829"/>
      <w:bookmarkStart w:id="386" w:name="_Toc28299"/>
      <w:bookmarkStart w:id="387" w:name="_Toc6017"/>
      <w:bookmarkStart w:id="388" w:name="_Toc13708"/>
      <w:bookmarkStart w:id="389" w:name="_Toc23746"/>
      <w:bookmarkStart w:id="390" w:name="_Toc10917"/>
      <w:bookmarkStart w:id="391" w:name="_Toc14126"/>
      <w:bookmarkStart w:id="392" w:name="_Toc15311"/>
      <w:bookmarkStart w:id="393" w:name="_Toc27576"/>
      <w:bookmarkStart w:id="394" w:name="_Toc20609"/>
      <w:bookmarkStart w:id="395" w:name="_Toc24464"/>
      <w:bookmarkStart w:id="396" w:name="_Toc883"/>
      <w:bookmarkStart w:id="397" w:name="_Toc26816"/>
      <w:bookmarkStart w:id="398" w:name="_Toc16084"/>
      <w:bookmarkStart w:id="399" w:name="_Toc2566"/>
      <w:r>
        <w:rPr>
          <w:rFonts w:ascii="Times New Roman"/>
        </w:rPr>
        <w:t>附  录  A</w:t>
      </w:r>
      <w:bookmarkEnd w:id="373"/>
      <w:bookmarkEnd w:id="374"/>
      <w:bookmarkEnd w:id="375"/>
      <w:bookmarkEnd w:id="376"/>
      <w:bookmarkEnd w:id="377"/>
      <w:bookmarkStart w:id="400" w:name="_Toc139035550"/>
      <w:r>
        <w:rPr>
          <w:rFonts w:ascii="Times New Roman"/>
        </w:rPr>
        <w:br w:type="textWrapping"/>
      </w:r>
      <w:r>
        <w:rPr>
          <w:rFonts w:ascii="Times New Roman"/>
        </w:rPr>
        <w:t>（资料性）</w:t>
      </w:r>
      <w:bookmarkEnd w:id="400"/>
      <w:bookmarkStart w:id="401" w:name="_Toc29718"/>
      <w:bookmarkStart w:id="402" w:name="_Toc27913"/>
      <w:r>
        <w:rPr>
          <w:rFonts w:ascii="Times New Roman"/>
        </w:rPr>
        <w:br w:type="textWrapping"/>
      </w:r>
      <w:bookmarkEnd w:id="378"/>
      <w:bookmarkEnd w:id="379"/>
      <w:bookmarkEnd w:id="380"/>
      <w:bookmarkEnd w:id="381"/>
      <w:bookmarkEnd w:id="382"/>
      <w:bookmarkEnd w:id="383"/>
      <w:bookmarkEnd w:id="401"/>
      <w:bookmarkEnd w:id="402"/>
      <w:r>
        <w:rPr>
          <w:rFonts w:hint="eastAsia" w:ascii="Times New Roman"/>
        </w:rPr>
        <w:t>观众禁带物品清单示例</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3F04A8F">
      <w:pPr>
        <w:pStyle w:val="37"/>
        <w:numPr>
          <w:ilvl w:val="255"/>
          <w:numId w:val="0"/>
        </w:numPr>
        <w:spacing w:line="240" w:lineRule="auto"/>
        <w:ind w:left="420" w:leftChars="200"/>
      </w:pPr>
      <w:r>
        <w:rPr>
          <w:rFonts w:hint="eastAsia"/>
        </w:rPr>
        <w:t>观众禁带物品清单示例如下：</w:t>
      </w:r>
    </w:p>
    <w:p w14:paraId="618BBDB7">
      <w:pPr>
        <w:pStyle w:val="37"/>
        <w:numPr>
          <w:ilvl w:val="0"/>
          <w:numId w:val="35"/>
        </w:numPr>
        <w:spacing w:line="240" w:lineRule="auto"/>
        <w:ind w:left="0" w:leftChars="0" w:firstLine="420" w:firstLineChars="200"/>
      </w:pPr>
      <w:r>
        <w:rPr>
          <w:rFonts w:hint="eastAsia"/>
        </w:rPr>
        <w:t>枪支等武器：如军用枪、公务用枪、民用枪、道具枪、发令枪及各类枪支仿制品、仿真武器等；</w:t>
      </w:r>
    </w:p>
    <w:p w14:paraId="7C3FE8B9">
      <w:pPr>
        <w:pStyle w:val="37"/>
        <w:numPr>
          <w:ilvl w:val="0"/>
          <w:numId w:val="35"/>
        </w:numPr>
        <w:spacing w:line="240" w:lineRule="auto"/>
        <w:ind w:left="0" w:leftChars="0" w:firstLine="420" w:firstLineChars="200"/>
      </w:pPr>
      <w:r>
        <w:rPr>
          <w:rFonts w:hint="eastAsia"/>
        </w:rPr>
        <w:t>管制器具及具有杀伤力的其他器具：如管制刀具、军警械具、匕首、三棱刮刀等锐器，棍棒、铁锤等钝器，弓、弩、弹弓等；</w:t>
      </w:r>
    </w:p>
    <w:p w14:paraId="67F15661">
      <w:pPr>
        <w:pStyle w:val="37"/>
        <w:numPr>
          <w:ilvl w:val="0"/>
          <w:numId w:val="35"/>
        </w:numPr>
        <w:spacing w:line="240" w:lineRule="auto"/>
        <w:ind w:left="0" w:leftChars="0" w:firstLine="420" w:firstLineChars="200"/>
      </w:pPr>
      <w:r>
        <w:rPr>
          <w:rFonts w:hint="eastAsia"/>
        </w:rPr>
        <w:t>易燃易爆危险品：如弹药、爆破器材、烟花爆竹、冷焰火等烟火制品及各类易燃易爆物品仿制品等；</w:t>
      </w:r>
    </w:p>
    <w:p w14:paraId="718301C7">
      <w:pPr>
        <w:pStyle w:val="37"/>
        <w:numPr>
          <w:ilvl w:val="0"/>
          <w:numId w:val="35"/>
        </w:numPr>
        <w:spacing w:line="240" w:lineRule="auto"/>
        <w:ind w:left="0" w:leftChars="0" w:firstLine="420" w:firstLineChars="200"/>
      </w:pPr>
      <w:r>
        <w:rPr>
          <w:rFonts w:hint="eastAsia"/>
        </w:rPr>
        <w:t>危险物品：如打火机、火柴、易燃液体、易燃固体、自燃物品等易燃类物品，压缩气体、腐蚀性物品、放射性物品、毒害性物品等；</w:t>
      </w:r>
    </w:p>
    <w:p w14:paraId="608DD5C8">
      <w:pPr>
        <w:pStyle w:val="37"/>
        <w:numPr>
          <w:ilvl w:val="0"/>
          <w:numId w:val="35"/>
        </w:numPr>
        <w:spacing w:line="240" w:lineRule="auto"/>
        <w:ind w:left="0" w:leftChars="0" w:firstLine="420" w:firstLineChars="200"/>
      </w:pPr>
      <w:r>
        <w:rPr>
          <w:rFonts w:hint="eastAsia"/>
        </w:rPr>
        <w:t>动物：导盲犬、助听犬等经专业认证的服务类动物除外，其余各类动物均禁止携带；</w:t>
      </w:r>
    </w:p>
    <w:p w14:paraId="245F32D6">
      <w:pPr>
        <w:pStyle w:val="37"/>
        <w:numPr>
          <w:ilvl w:val="0"/>
          <w:numId w:val="35"/>
        </w:numPr>
        <w:spacing w:line="240" w:lineRule="auto"/>
        <w:ind w:left="0" w:leftChars="0" w:firstLine="420" w:firstLineChars="200"/>
      </w:pPr>
      <w:r>
        <w:rPr>
          <w:rFonts w:hint="eastAsia"/>
        </w:rPr>
        <w:t>攀爬工具：线缆、绳索、登山绳、攀岩装备等具有攀爬功能的器具等；</w:t>
      </w:r>
    </w:p>
    <w:p w14:paraId="28BF80BA">
      <w:pPr>
        <w:pStyle w:val="37"/>
        <w:numPr>
          <w:ilvl w:val="0"/>
          <w:numId w:val="35"/>
        </w:numPr>
        <w:spacing w:line="240" w:lineRule="auto"/>
        <w:ind w:left="0" w:leftChars="0" w:firstLine="420" w:firstLineChars="200"/>
      </w:pPr>
      <w:r>
        <w:rPr>
          <w:rFonts w:hint="eastAsia"/>
        </w:rPr>
        <w:t>摄像器材：滑轨、摇臂、落地式三脚架等大型摄像辅助器材；</w:t>
      </w:r>
    </w:p>
    <w:p w14:paraId="0543D224">
      <w:pPr>
        <w:pStyle w:val="37"/>
        <w:numPr>
          <w:ilvl w:val="0"/>
          <w:numId w:val="35"/>
        </w:numPr>
        <w:spacing w:line="240" w:lineRule="auto"/>
        <w:ind w:left="0" w:leftChars="0" w:firstLine="420" w:firstLineChars="200"/>
      </w:pPr>
      <w:r>
        <w:rPr>
          <w:rFonts w:hint="eastAsia"/>
        </w:rPr>
        <w:t>升空类物品：无人机、航拍器、孔明灯、风筝等可升空的物品；</w:t>
      </w:r>
    </w:p>
    <w:p w14:paraId="328D5C50">
      <w:pPr>
        <w:pStyle w:val="37"/>
        <w:numPr>
          <w:ilvl w:val="0"/>
          <w:numId w:val="35"/>
        </w:numPr>
        <w:spacing w:line="240" w:lineRule="auto"/>
        <w:ind w:left="0" w:leftChars="0" w:firstLine="420" w:firstLineChars="200"/>
      </w:pPr>
      <w:r>
        <w:rPr>
          <w:rFonts w:hint="eastAsia"/>
        </w:rPr>
        <w:t>宣传品：未经场馆管理部门许可的旗帜、横幅、标语传单、海报等各类宣传物品；</w:t>
      </w:r>
    </w:p>
    <w:p w14:paraId="1FB2C6EF">
      <w:pPr>
        <w:pStyle w:val="37"/>
        <w:numPr>
          <w:ilvl w:val="0"/>
          <w:numId w:val="35"/>
        </w:numPr>
        <w:spacing w:line="240" w:lineRule="auto"/>
        <w:ind w:left="0" w:leftChars="0" w:firstLine="420" w:firstLineChars="200"/>
      </w:pPr>
      <w:r>
        <w:rPr>
          <w:rFonts w:hint="eastAsia"/>
        </w:rPr>
        <w:t>运输装载工具：手推车、平板车等具有运输装载功能的带轮工具；轮椅、婴儿车、老年助力车等老、幼、病、残、孕等观众必需的代步工具除外；</w:t>
      </w:r>
    </w:p>
    <w:p w14:paraId="6143F8ED">
      <w:pPr>
        <w:pStyle w:val="37"/>
        <w:numPr>
          <w:ilvl w:val="0"/>
          <w:numId w:val="35"/>
        </w:numPr>
        <w:spacing w:line="240" w:lineRule="auto"/>
        <w:ind w:left="0" w:leftChars="0" w:firstLine="420" w:firstLineChars="200"/>
      </w:pPr>
      <w:r>
        <w:rPr>
          <w:rFonts w:hint="eastAsia"/>
        </w:rPr>
        <w:t>其他物品：扩音喇叭、音响设备等易产生噪音的物品；颜料、油漆等污染场馆设施及文物藏品的物品。</w:t>
      </w:r>
    </w:p>
    <w:p w14:paraId="7A4E3F62">
      <w:pPr>
        <w:pStyle w:val="37"/>
        <w:numPr>
          <w:ilvl w:val="255"/>
          <w:numId w:val="0"/>
        </w:numPr>
        <w:spacing w:line="240" w:lineRule="auto"/>
        <w:ind w:left="420" w:leftChars="200"/>
      </w:pPr>
    </w:p>
    <w:p w14:paraId="4716AEA4">
      <w:pPr>
        <w:pStyle w:val="37"/>
        <w:numPr>
          <w:ilvl w:val="255"/>
          <w:numId w:val="0"/>
        </w:numPr>
        <w:spacing w:line="240" w:lineRule="auto"/>
        <w:ind w:left="420" w:leftChars="200"/>
      </w:pPr>
    </w:p>
    <w:p w14:paraId="3533D7A2">
      <w:pPr>
        <w:pStyle w:val="37"/>
        <w:numPr>
          <w:ilvl w:val="255"/>
          <w:numId w:val="0"/>
        </w:numPr>
        <w:spacing w:line="240" w:lineRule="auto"/>
        <w:ind w:left="420" w:leftChars="200"/>
        <w:sectPr>
          <w:pgSz w:w="11906" w:h="16838"/>
          <w:pgMar w:top="1871" w:right="1134" w:bottom="1134" w:left="1134" w:header="1418" w:footer="1247" w:gutter="284"/>
          <w:cols w:space="425" w:num="1"/>
          <w:formProt w:val="0"/>
          <w:docGrid w:linePitch="312" w:charSpace="0"/>
        </w:sectPr>
      </w:pPr>
    </w:p>
    <w:p w14:paraId="6349E535">
      <w:pPr>
        <w:pStyle w:val="38"/>
        <w:spacing w:before="124" w:after="156"/>
        <w:rPr>
          <w:rFonts w:ascii="Times New Roman" w:hAnsi="Times New Roman"/>
        </w:rPr>
      </w:pPr>
      <w:bookmarkStart w:id="403" w:name="_Toc6842"/>
      <w:bookmarkStart w:id="404" w:name="_Toc22170"/>
      <w:bookmarkStart w:id="405" w:name="_Toc28201"/>
      <w:bookmarkStart w:id="406" w:name="_Toc8066"/>
      <w:bookmarkStart w:id="407" w:name="_Toc12151"/>
      <w:bookmarkStart w:id="408" w:name="_Toc31908"/>
      <w:bookmarkStart w:id="409" w:name="_Toc21504"/>
      <w:bookmarkStart w:id="410" w:name="_Toc2000"/>
      <w:bookmarkStart w:id="411" w:name="_Toc4366"/>
      <w:bookmarkStart w:id="412" w:name="_Toc5561"/>
      <w:bookmarkStart w:id="413" w:name="_Toc30137"/>
      <w:bookmarkStart w:id="414" w:name="_Toc25650"/>
      <w:bookmarkStart w:id="415" w:name="_Toc4441"/>
      <w:r>
        <w:rPr>
          <w:rFonts w:hint="eastAsia" w:ascii="Times New Roman" w:hAnsi="Times New Roman"/>
          <w:spacing w:val="105"/>
        </w:rPr>
        <w:t>参考文</w:t>
      </w:r>
      <w:r>
        <w:rPr>
          <w:rFonts w:hint="eastAsia" w:ascii="Times New Roman" w:hAnsi="Times New Roman"/>
        </w:rPr>
        <w:t>献</w:t>
      </w:r>
      <w:bookmarkEnd w:id="188"/>
      <w:bookmarkEnd w:id="189"/>
      <w:bookmarkEnd w:id="190"/>
      <w:bookmarkEnd w:id="191"/>
      <w:bookmarkEnd w:id="362"/>
      <w:bookmarkEnd w:id="363"/>
      <w:bookmarkEnd w:id="364"/>
      <w:bookmarkEnd w:id="403"/>
      <w:bookmarkEnd w:id="404"/>
      <w:bookmarkEnd w:id="405"/>
      <w:bookmarkEnd w:id="406"/>
      <w:bookmarkEnd w:id="407"/>
      <w:bookmarkEnd w:id="408"/>
      <w:bookmarkEnd w:id="409"/>
      <w:bookmarkEnd w:id="410"/>
      <w:bookmarkEnd w:id="411"/>
      <w:bookmarkEnd w:id="412"/>
      <w:bookmarkEnd w:id="413"/>
      <w:bookmarkEnd w:id="414"/>
      <w:bookmarkEnd w:id="415"/>
    </w:p>
    <w:p w14:paraId="6A1BC6C8">
      <w:pPr>
        <w:pStyle w:val="19"/>
        <w:numPr>
          <w:ilvl w:val="0"/>
          <w:numId w:val="36"/>
        </w:numPr>
        <w:adjustRightInd w:val="0"/>
        <w:snapToGrid w:val="0"/>
        <w:ind w:firstLine="420"/>
        <w:rPr>
          <w:rFonts w:ascii="Times New Roman"/>
          <w:szCs w:val="21"/>
        </w:rPr>
      </w:pPr>
      <w:r>
        <w:rPr>
          <w:rFonts w:ascii="Times New Roman"/>
          <w:szCs w:val="21"/>
        </w:rPr>
        <w:fldChar w:fldCharType="begin"/>
      </w:r>
      <w:r>
        <w:rPr>
          <w:rFonts w:ascii="Times New Roman"/>
          <w:szCs w:val="21"/>
        </w:rPr>
        <w:instrText xml:space="preserve"> HYPERLINK "http://www.baidu.com/link?url=hgAUfyfiDzNfkbqWT4r0scqiWwaYhgwIm2r3zJ4Hd9bbtjNcdWjBYtVv0xjnfK9tnKXcLD7d_p6kz2BcGgXW6q" \t "https://www.baidu.com/_blank" </w:instrText>
      </w:r>
      <w:r>
        <w:rPr>
          <w:rFonts w:ascii="Times New Roman"/>
          <w:szCs w:val="21"/>
        </w:rPr>
        <w:fldChar w:fldCharType="separate"/>
      </w:r>
      <w:r>
        <w:rPr>
          <w:rFonts w:ascii="Times New Roman"/>
          <w:szCs w:val="21"/>
        </w:rPr>
        <w:t>GB/T 24353</w:t>
      </w:r>
      <w:r>
        <w:rPr>
          <w:rFonts w:hint="eastAsia" w:ascii="Times New Roman"/>
          <w:szCs w:val="21"/>
        </w:rPr>
        <w:t>-2022</w:t>
      </w:r>
      <w:r>
        <w:rPr>
          <w:rFonts w:ascii="Times New Roman"/>
          <w:szCs w:val="21"/>
        </w:rPr>
        <w:t xml:space="preserve"> 风险管理 指南</w:t>
      </w:r>
      <w:r>
        <w:rPr>
          <w:rFonts w:ascii="Times New Roman"/>
          <w:szCs w:val="21"/>
        </w:rPr>
        <w:fldChar w:fldCharType="end"/>
      </w:r>
    </w:p>
    <w:p w14:paraId="7FD1E89E">
      <w:pPr>
        <w:pStyle w:val="19"/>
        <w:numPr>
          <w:ilvl w:val="0"/>
          <w:numId w:val="36"/>
        </w:numPr>
        <w:adjustRightInd w:val="0"/>
        <w:snapToGrid w:val="0"/>
        <w:ind w:firstLine="420"/>
        <w:rPr>
          <w:rFonts w:ascii="Times New Roman"/>
          <w:szCs w:val="21"/>
        </w:rPr>
      </w:pPr>
      <w:r>
        <w:rPr>
          <w:rFonts w:ascii="Times New Roman"/>
          <w:szCs w:val="21"/>
        </w:rPr>
        <w:fldChar w:fldCharType="begin"/>
      </w:r>
      <w:r>
        <w:rPr>
          <w:rFonts w:ascii="Times New Roman"/>
          <w:szCs w:val="21"/>
        </w:rPr>
        <w:instrText xml:space="preserve"> HYPERLINK "http://www.baidu.com/link?url=Apbtt1a1Gh7HAdLqwLRr8lAOW87ef9GcCxQ6hJpIYLv0zqittERob-6JLTzOLY2HWxGLSmyL3aSLAEMQw4Rb-AUl-v_J7PJ6ol-0MfDatsy" \t "https://www.baidu.com/_blank" </w:instrText>
      </w:r>
      <w:r>
        <w:rPr>
          <w:rFonts w:ascii="Times New Roman"/>
          <w:szCs w:val="21"/>
        </w:rPr>
        <w:fldChar w:fldCharType="separate"/>
      </w:r>
      <w:r>
        <w:rPr>
          <w:rFonts w:ascii="Times New Roman"/>
          <w:szCs w:val="21"/>
        </w:rPr>
        <w:t>GB/T 27921</w:t>
      </w:r>
      <w:r>
        <w:rPr>
          <w:rFonts w:hint="eastAsia" w:ascii="Times New Roman"/>
          <w:szCs w:val="21"/>
        </w:rPr>
        <w:t>-2023</w:t>
      </w:r>
      <w:r>
        <w:rPr>
          <w:rFonts w:ascii="Times New Roman"/>
          <w:szCs w:val="21"/>
        </w:rPr>
        <w:t xml:space="preserve"> 风险管理 风险评估技术</w:t>
      </w:r>
      <w:r>
        <w:rPr>
          <w:rFonts w:ascii="Times New Roman"/>
          <w:szCs w:val="21"/>
        </w:rPr>
        <w:fldChar w:fldCharType="end"/>
      </w:r>
    </w:p>
    <w:p w14:paraId="36A99326">
      <w:pPr>
        <w:pStyle w:val="19"/>
        <w:numPr>
          <w:ilvl w:val="0"/>
          <w:numId w:val="36"/>
        </w:numPr>
        <w:adjustRightInd w:val="0"/>
        <w:snapToGrid w:val="0"/>
        <w:ind w:firstLine="420"/>
        <w:rPr>
          <w:rFonts w:ascii="Times New Roman"/>
          <w:szCs w:val="21"/>
        </w:rPr>
      </w:pPr>
      <w:r>
        <w:rPr>
          <w:rFonts w:ascii="Times New Roman"/>
          <w:szCs w:val="21"/>
        </w:rPr>
        <w:t>GA 27</w:t>
      </w:r>
      <w:r>
        <w:rPr>
          <w:rFonts w:hint="eastAsia" w:ascii="Times New Roman"/>
          <w:szCs w:val="21"/>
        </w:rPr>
        <w:t xml:space="preserve">-2002 </w:t>
      </w:r>
      <w:r>
        <w:rPr>
          <w:rFonts w:ascii="Times New Roman"/>
          <w:szCs w:val="21"/>
        </w:rPr>
        <w:t xml:space="preserve"> 文物系统博物馆风险等级和安全防护级别的规定</w:t>
      </w:r>
    </w:p>
    <w:p w14:paraId="4404E8FF">
      <w:pPr>
        <w:pStyle w:val="19"/>
        <w:numPr>
          <w:ilvl w:val="0"/>
          <w:numId w:val="36"/>
        </w:numPr>
        <w:adjustRightInd w:val="0"/>
        <w:snapToGrid w:val="0"/>
        <w:ind w:firstLine="420"/>
        <w:rPr>
          <w:rFonts w:ascii="Times New Roman"/>
          <w:szCs w:val="21"/>
        </w:rPr>
      </w:pPr>
      <w:r>
        <w:fldChar w:fldCharType="begin"/>
      </w:r>
      <w:r>
        <w:instrText xml:space="preserve"> HYPERLINK "http://www.baidu.com/link?url=jVlScRfJknKk_YeSFqRSLOtxhFo5iXbjI0Bm_1zqL5NsQLe9Qh0v8lWdIS2Zbu5IHvfTD1SdxjPEsp72DnP9XK" \t "https://www.baidu.com/_blank" </w:instrText>
      </w:r>
      <w:r>
        <w:fldChar w:fldCharType="separate"/>
      </w:r>
      <w:r>
        <w:rPr>
          <w:rFonts w:ascii="Times New Roman"/>
          <w:szCs w:val="21"/>
        </w:rPr>
        <w:t>GA</w:t>
      </w:r>
      <w:r>
        <w:rPr>
          <w:rFonts w:ascii="Times New Roman"/>
          <w:szCs w:val="21"/>
          <w:lang w:val="en-GB"/>
        </w:rPr>
        <w:t>/</w:t>
      </w:r>
      <w:r>
        <w:rPr>
          <w:rFonts w:ascii="Times New Roman"/>
          <w:szCs w:val="21"/>
        </w:rPr>
        <w:t>T 1279</w:t>
      </w:r>
      <w:r>
        <w:rPr>
          <w:rFonts w:ascii="Times New Roman"/>
          <w:szCs w:val="21"/>
        </w:rPr>
        <w:fldChar w:fldCharType="end"/>
      </w:r>
      <w:r>
        <w:rPr>
          <w:rFonts w:hint="eastAsia" w:ascii="Times New Roman"/>
          <w:szCs w:val="21"/>
        </w:rPr>
        <w:t>-2015</w:t>
      </w:r>
      <w:r>
        <w:rPr>
          <w:rFonts w:ascii="Times New Roman"/>
          <w:szCs w:val="21"/>
        </w:rPr>
        <w:t xml:space="preserve"> 保安员装备配备与管理要求</w:t>
      </w:r>
    </w:p>
    <w:p w14:paraId="6B116BEF">
      <w:pPr>
        <w:pStyle w:val="19"/>
        <w:numPr>
          <w:ilvl w:val="0"/>
          <w:numId w:val="36"/>
        </w:numPr>
        <w:adjustRightInd w:val="0"/>
        <w:snapToGrid w:val="0"/>
        <w:ind w:firstLine="420"/>
        <w:rPr>
          <w:rFonts w:ascii="Times New Roman"/>
          <w:szCs w:val="21"/>
        </w:rPr>
      </w:pPr>
      <w:r>
        <w:rPr>
          <w:rFonts w:ascii="Times New Roman"/>
          <w:szCs w:val="21"/>
        </w:rPr>
        <w:t>企</w:t>
      </w:r>
      <w:r>
        <w:rPr>
          <w:rFonts w:hint="eastAsia" w:ascii="Times New Roman"/>
          <w:szCs w:val="21"/>
        </w:rPr>
        <w:t>业</w:t>
      </w:r>
      <w:r>
        <w:rPr>
          <w:rFonts w:ascii="Times New Roman"/>
          <w:szCs w:val="21"/>
        </w:rPr>
        <w:t>事业单位内部治安保卫条例</w:t>
      </w:r>
      <w:r>
        <w:rPr>
          <w:rFonts w:hint="eastAsia" w:ascii="Times New Roman"/>
          <w:szCs w:val="21"/>
        </w:rPr>
        <w:t>（国务院令</w:t>
      </w:r>
      <w:r>
        <w:rPr>
          <w:rFonts w:ascii="Times New Roman"/>
          <w:szCs w:val="21"/>
        </w:rPr>
        <w:t>第421号</w:t>
      </w:r>
      <w:r>
        <w:rPr>
          <w:rFonts w:hint="eastAsia" w:ascii="Times New Roman"/>
          <w:szCs w:val="21"/>
        </w:rPr>
        <w:t>）</w:t>
      </w:r>
    </w:p>
    <w:p w14:paraId="6961CBED">
      <w:pPr>
        <w:pStyle w:val="19"/>
        <w:numPr>
          <w:ilvl w:val="0"/>
          <w:numId w:val="36"/>
        </w:numPr>
        <w:adjustRightInd w:val="0"/>
        <w:snapToGrid w:val="0"/>
        <w:ind w:firstLine="420"/>
        <w:rPr>
          <w:rFonts w:ascii="Times New Roman"/>
          <w:szCs w:val="21"/>
        </w:rPr>
      </w:pPr>
      <w:r>
        <w:rPr>
          <w:rFonts w:hint="eastAsia" w:ascii="Times New Roman"/>
          <w:szCs w:val="21"/>
        </w:rPr>
        <w:t>博物馆定级评估管理办法（文物博发〔2020〕2号）</w:t>
      </w:r>
    </w:p>
    <w:p w14:paraId="19695631">
      <w:pPr>
        <w:pStyle w:val="19"/>
        <w:numPr>
          <w:ilvl w:val="0"/>
          <w:numId w:val="36"/>
        </w:numPr>
        <w:adjustRightInd w:val="0"/>
        <w:snapToGrid w:val="0"/>
        <w:ind w:firstLine="420"/>
        <w:rPr>
          <w:rFonts w:ascii="Times New Roman"/>
          <w:szCs w:val="21"/>
        </w:rPr>
      </w:pPr>
      <w:r>
        <w:rPr>
          <w:rFonts w:hint="eastAsia" w:ascii="Times New Roman"/>
          <w:szCs w:val="21"/>
        </w:rPr>
        <w:t>博物馆安全保卫工作规定（文化部、公安部，1985年）</w:t>
      </w:r>
    </w:p>
    <w:p w14:paraId="57E93C83">
      <w:pPr>
        <w:pStyle w:val="19"/>
        <w:numPr>
          <w:ilvl w:val="255"/>
          <w:numId w:val="0"/>
        </w:numPr>
        <w:adjustRightInd w:val="0"/>
        <w:snapToGrid w:val="0"/>
        <w:ind w:left="420" w:leftChars="200"/>
        <w:rPr>
          <w:rFonts w:ascii="Times New Roman"/>
          <w:szCs w:val="21"/>
        </w:rPr>
      </w:pPr>
    </w:p>
    <w:p w14:paraId="70602BB6">
      <w:pPr>
        <w:pStyle w:val="19"/>
        <w:numPr>
          <w:ilvl w:val="255"/>
          <w:numId w:val="0"/>
        </w:numPr>
        <w:ind w:firstLine="420"/>
        <w:rPr>
          <w:rFonts w:ascii="Times New Roman"/>
          <w:szCs w:val="21"/>
        </w:rPr>
      </w:pPr>
    </w:p>
    <w:p w14:paraId="7E799548">
      <w:pPr>
        <w:pStyle w:val="3"/>
        <w:ind w:firstLine="0" w:firstLineChars="0"/>
        <w:jc w:val="center"/>
        <w:rPr>
          <w:rFonts w:ascii="Times New Roman" w:hAnsi="Times New Roman"/>
        </w:rPr>
      </w:pPr>
      <w:bookmarkStart w:id="416" w:name="BookMark8"/>
      <w:r>
        <w:rPr>
          <w:rFonts w:ascii="Times New Roman" w:hAnsi="Times New Roman"/>
        </w:rPr>
        <w:drawing>
          <wp:inline distT="0" distB="0" distL="0" distR="0">
            <wp:extent cx="2014220" cy="317500"/>
            <wp:effectExtent l="0" t="0" r="12700" b="254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extLst>
                        <a:ext uri="{28A0092B-C50C-407E-A947-70E740481C1C}">
                          <a14:useLocalDpi xmlns:a14="http://schemas.microsoft.com/office/drawing/2010/main" val="0"/>
                        </a:ext>
                      </a:extLst>
                    </a:blip>
                    <a:stretch>
                      <a:fillRect/>
                    </a:stretch>
                  </pic:blipFill>
                  <pic:spPr>
                    <a:xfrm>
                      <a:off x="0" y="0"/>
                      <a:ext cx="2014220" cy="317500"/>
                    </a:xfrm>
                    <a:prstGeom prst="rect">
                      <a:avLst/>
                    </a:prstGeom>
                  </pic:spPr>
                </pic:pic>
              </a:graphicData>
            </a:graphic>
          </wp:inline>
        </w:drawing>
      </w:r>
      <w:bookmarkEnd w:id="416"/>
    </w:p>
    <w:p w14:paraId="7500207B">
      <w:pPr>
        <w:pStyle w:val="19"/>
        <w:numPr>
          <w:ilvl w:val="255"/>
          <w:numId w:val="0"/>
        </w:numPr>
        <w:ind w:firstLine="420"/>
        <w:rPr>
          <w:rFonts w:ascii="Times New Roman"/>
          <w:szCs w:val="21"/>
        </w:rPr>
      </w:pPr>
    </w:p>
    <w:p w14:paraId="7A68B2C5">
      <w:pPr>
        <w:tabs>
          <w:tab w:val="left" w:pos="6151"/>
        </w:tabs>
        <w:rPr>
          <w:rFonts w:ascii="Times New Roman" w:hAnsi="Times New Roman"/>
        </w:rPr>
      </w:pPr>
    </w:p>
    <w:p w14:paraId="1FC132C6">
      <w:pPr>
        <w:rPr>
          <w:rFonts w:ascii="Times New Roman" w:hAnsi="Times New Roman"/>
        </w:rPr>
      </w:pPr>
    </w:p>
    <w:p w14:paraId="2A5B43D9">
      <w:pPr>
        <w:rPr>
          <w:rFonts w:ascii="Times New Roman" w:hAnsi="Times New Roman"/>
        </w:rPr>
      </w:pPr>
    </w:p>
    <w:p w14:paraId="3B48A786">
      <w:pPr>
        <w:rPr>
          <w:rFonts w:ascii="Times New Roman" w:hAnsi="Times New Roman"/>
        </w:rPr>
      </w:pPr>
    </w:p>
    <w:p w14:paraId="0ECD3F45">
      <w:pPr>
        <w:rPr>
          <w:rFonts w:ascii="Times New Roman" w:hAnsi="Times New Roman"/>
        </w:rPr>
      </w:pPr>
    </w:p>
    <w:p w14:paraId="15A90835">
      <w:pPr>
        <w:rPr>
          <w:rFonts w:ascii="Times New Roman" w:hAnsi="Times New Roman"/>
        </w:rPr>
      </w:pPr>
    </w:p>
    <w:p w14:paraId="3A9A3254">
      <w:pPr>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2000000000000000000"/>
    <w:charset w:val="86"/>
    <w:family w:val="script"/>
    <w:pitch w:val="default"/>
    <w:sig w:usb0="A00002BF" w:usb1="38CF7CFA" w:usb2="00082016" w:usb3="00000000" w:csb0="00040001" w:csb1="00000000"/>
  </w:font>
  <w:font w:name="Helvetica">
    <w:altName w:val="Arial"/>
    <w:panose1 w:val="00000000000000000000"/>
    <w:charset w:val="00"/>
    <w:family w:val="swiss"/>
    <w:pitch w:val="default"/>
    <w:sig w:usb0="00000000" w:usb1="00000000" w:usb2="00000000" w:usb3="00000000" w:csb0="2000019F" w:csb1="4F01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75985">
    <w:pPr>
      <w:pStyle w:val="5"/>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44809">
    <w:pPr>
      <w:pStyle w:val="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C6F28">
    <w:pPr>
      <w:pStyle w:val="3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BD49E">
    <w:pPr>
      <w:pStyle w:val="39"/>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E13FB2">
                          <w:pPr>
                            <w:pStyle w:val="39"/>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EE13FB2">
                    <w:pPr>
                      <w:pStyle w:val="39"/>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2806B">
    <w:pPr>
      <w:pStyle w:val="39"/>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500C4A">
                          <w:pPr>
                            <w:pStyle w:val="39"/>
                          </w:pPr>
                          <w:r>
                            <w:fldChar w:fldCharType="begin"/>
                          </w:r>
                          <w:r>
                            <w:instrText xml:space="preserve">PAGE   \* MERGEFORMAT</w:instrText>
                          </w:r>
                          <w:r>
                            <w:fldChar w:fldCharType="separate"/>
                          </w:r>
                          <w:r>
                            <w:rPr>
                              <w:lang w:val="zh-CN"/>
                            </w:rP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E500C4A">
                    <w:pPr>
                      <w:pStyle w:val="39"/>
                    </w:pPr>
                    <w:r>
                      <w:fldChar w:fldCharType="begin"/>
                    </w:r>
                    <w:r>
                      <w:instrText xml:space="preserve">PAGE   \* MERGEFORMAT</w:instrText>
                    </w:r>
                    <w:r>
                      <w:fldChar w:fldCharType="separate"/>
                    </w:r>
                    <w:r>
                      <w:rPr>
                        <w:lang w:val="zh-CN"/>
                      </w:rP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E6FEA">
    <w:pPr>
      <w:pStyle w:val="6"/>
      <w:wordWrap w:val="0"/>
      <w:jc w:val="right"/>
      <w:rPr>
        <w:rFonts w:ascii="黑体" w:hAnsi="黑体" w:eastAsia="黑体"/>
      </w:rPr>
    </w:pPr>
    <w:r>
      <w:rPr>
        <w:rFonts w:ascii="黑体" w:hAnsi="黑体" w:eastAsia="黑体"/>
      </w:rPr>
      <w:t>Q/L</w:t>
    </w:r>
    <w:r>
      <w:rPr>
        <w:rFonts w:hint="eastAsia" w:ascii="黑体" w:hAnsi="黑体" w:eastAsia="黑体"/>
      </w:rPr>
      <w:t>B.□</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0E44">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53FC">
    <w:pPr>
      <w:pStyle w:val="6"/>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5554D">
    <w:pPr>
      <w:snapToGrid w:val="0"/>
      <w:spacing w:line="240" w:lineRule="auto"/>
      <w:ind w:firstLine="641"/>
      <w:jc w:val="right"/>
      <w:outlineLvl w:val="0"/>
    </w:pPr>
    <w: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WW</w:t>
    </w:r>
    <w:r>
      <w:rPr>
        <w:rFonts w:hint="eastAsia"/>
      </w:rPr>
      <w:t>/</w:t>
    </w:r>
    <w:r>
      <w:rPr>
        <w:lang w:val="fr-FR"/>
      </w:rPr>
      <w:t>T</w:t>
    </w:r>
    <w:r>
      <w:fldChar w:fldCharType="end"/>
    </w:r>
    <w:r>
      <w:rPr>
        <w:lang w:val="fr-FR"/>
      </w:rPr>
      <w:t xml:space="preserve"> </w:t>
    </w:r>
    <w:r>
      <w:fldChar w:fldCharType="begin">
        <w:ffData>
          <w:name w:val="NSTD_CODE_F"/>
          <w:enabled/>
          <w:calcOnExit w:val="0"/>
          <w:textInput>
            <w:default w:val="XXXXX"/>
          </w:textInput>
        </w:ffData>
      </w:fldChar>
    </w:r>
    <w:r>
      <w:rPr>
        <w:lang w:val="fr-FR"/>
      </w:rPr>
      <w:instrText xml:space="preserve"> FORMTEXT </w:instrText>
    </w:r>
    <w:r>
      <w:fldChar w:fldCharType="separate"/>
    </w:r>
    <w:r>
      <w:rPr>
        <w:lang w:val="fr-FR"/>
      </w:rPr>
      <w:t>XXXXX</w:t>
    </w:r>
    <w:r>
      <w:fldChar w:fldCharType="end"/>
    </w:r>
    <w:r>
      <w:rPr>
        <w:lang w:val="fr-FR"/>
      </w:rPr>
      <w:t>—</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4F523">
    <w:pPr>
      <w:snapToGrid w:val="0"/>
      <w:spacing w:line="240" w:lineRule="auto"/>
      <w:ind w:firstLine="641"/>
      <w:jc w:val="right"/>
      <w:outlineLvl w:val="0"/>
    </w:pPr>
    <w:r>
      <w:fldChar w:fldCharType="begin">
        <w:ffData>
          <w:name w:val="文字1"/>
          <w:enabled/>
          <w:calcOnExit w:val="0"/>
          <w:textInput>
            <w:default w:val="XX/T"/>
          </w:textInput>
        </w:ffData>
      </w:fldChar>
    </w:r>
    <w:r>
      <w:rPr>
        <w:lang w:val="fr-FR"/>
      </w:rPr>
      <w:instrText xml:space="preserve"> FORMTEXT </w:instrText>
    </w:r>
    <w:r>
      <w:fldChar w:fldCharType="separate"/>
    </w:r>
    <w:r>
      <w:rPr>
        <w:lang w:val="fr-FR"/>
      </w:rPr>
      <w:t>WW</w:t>
    </w:r>
    <w:r>
      <w:rPr>
        <w:rFonts w:hint="eastAsia"/>
      </w:rPr>
      <w:t>/</w:t>
    </w:r>
    <w:r>
      <w:rPr>
        <w:lang w:val="fr-FR"/>
      </w:rPr>
      <w:t>T</w:t>
    </w:r>
    <w:r>
      <w:fldChar w:fldCharType="end"/>
    </w:r>
    <w:r>
      <w:rPr>
        <w:lang w:val="fr-FR"/>
      </w:rPr>
      <w:t xml:space="preserve"> </w:t>
    </w:r>
    <w:r>
      <w:fldChar w:fldCharType="begin">
        <w:ffData>
          <w:name w:val="NSTD_CODE_F"/>
          <w:enabled/>
          <w:calcOnExit w:val="0"/>
          <w:textInput>
            <w:default w:val="XXXXX"/>
          </w:textInput>
        </w:ffData>
      </w:fldChar>
    </w:r>
    <w:r>
      <w:rPr>
        <w:lang w:val="fr-FR"/>
      </w:rPr>
      <w:instrText xml:space="preserve"> FORMTEXT </w:instrText>
    </w:r>
    <w:r>
      <w:fldChar w:fldCharType="separate"/>
    </w:r>
    <w:r>
      <w:rPr>
        <w:lang w:val="fr-FR"/>
      </w:rPr>
      <w:t>XXXXX</w:t>
    </w:r>
    <w:r>
      <w:fldChar w:fldCharType="end"/>
    </w:r>
    <w:r>
      <w:rPr>
        <w:rFonts w:hAnsi="黑体"/>
        <w:lang w:val="fr-FR"/>
      </w:rPr>
      <w:t>—</w:t>
    </w:r>
    <w:r>
      <w:fldChar w:fldCharType="begin">
        <w:ffData>
          <w:name w:val="NSTD_CODE_B"/>
          <w:enabled/>
          <w:calcOnExit w:val="0"/>
          <w:textInput>
            <w:default w:val="XXXX"/>
          </w:textInput>
        </w:ffData>
      </w:fldChar>
    </w:r>
    <w:r>
      <w:rPr>
        <w:lang w:val="fr-FR"/>
      </w:rPr>
      <w:instrText xml:space="preserve"> FORMTEXT </w:instrText>
    </w:r>
    <w:r>
      <w:fldChar w:fldCharType="separate"/>
    </w:r>
    <w:r>
      <w:rPr>
        <w:lang w:val="fr-FR"/>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C3A87"/>
    <w:multiLevelType w:val="singleLevel"/>
    <w:tmpl w:val="810C3A87"/>
    <w:lvl w:ilvl="0" w:tentative="0">
      <w:start w:val="1"/>
      <w:numFmt w:val="decimal"/>
      <w:suff w:val="nothing"/>
      <w:lvlText w:val="7.4.%1 "/>
      <w:lvlJc w:val="left"/>
      <w:pPr>
        <w:tabs>
          <w:tab w:val="left" w:pos="0"/>
        </w:tabs>
        <w:ind w:left="0" w:firstLine="0"/>
      </w:pPr>
      <w:rPr>
        <w:rFonts w:hint="default" w:ascii="Times New Roman" w:hAnsi="Times New Roman" w:eastAsia="宋体" w:cs="Times New Roman"/>
      </w:rPr>
    </w:lvl>
  </w:abstractNum>
  <w:abstractNum w:abstractNumId="1">
    <w:nsid w:val="8272BD69"/>
    <w:multiLevelType w:val="singleLevel"/>
    <w:tmpl w:val="8272BD69"/>
    <w:lvl w:ilvl="0" w:tentative="0">
      <w:start w:val="1"/>
      <w:numFmt w:val="decimal"/>
      <w:suff w:val="nothing"/>
      <w:lvlText w:val="5.1.%1 "/>
      <w:lvlJc w:val="left"/>
      <w:pPr>
        <w:tabs>
          <w:tab w:val="left" w:pos="0"/>
        </w:tabs>
        <w:ind w:left="0" w:firstLine="0"/>
      </w:pPr>
      <w:rPr>
        <w:rFonts w:hint="default" w:ascii="Times New Roman" w:hAnsi="Times New Roman" w:eastAsia="宋体" w:cs="Times New Roman"/>
      </w:rPr>
    </w:lvl>
  </w:abstractNum>
  <w:abstractNum w:abstractNumId="2">
    <w:nsid w:val="82D4C1B2"/>
    <w:multiLevelType w:val="singleLevel"/>
    <w:tmpl w:val="82D4C1B2"/>
    <w:lvl w:ilvl="0" w:tentative="0">
      <w:start w:val="1"/>
      <w:numFmt w:val="decimal"/>
      <w:suff w:val="nothing"/>
      <w:lvlText w:val="7.1.%1 "/>
      <w:lvlJc w:val="left"/>
      <w:pPr>
        <w:tabs>
          <w:tab w:val="left" w:pos="0"/>
        </w:tabs>
        <w:ind w:left="0" w:firstLine="0"/>
      </w:pPr>
      <w:rPr>
        <w:rFonts w:hint="default" w:ascii="Times New Roman" w:hAnsi="Times New Roman" w:eastAsia="宋体" w:cs="Times New Roman"/>
        <w:b w:val="0"/>
        <w:bCs w:val="0"/>
      </w:rPr>
    </w:lvl>
  </w:abstractNum>
  <w:abstractNum w:abstractNumId="3">
    <w:nsid w:val="854853F9"/>
    <w:multiLevelType w:val="multilevel"/>
    <w:tmpl w:val="854853F9"/>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89BBF3A1"/>
    <w:multiLevelType w:val="singleLevel"/>
    <w:tmpl w:val="89BBF3A1"/>
    <w:lvl w:ilvl="0" w:tentative="0">
      <w:start w:val="1"/>
      <w:numFmt w:val="decimal"/>
      <w:suff w:val="nothing"/>
      <w:lvlText w:val="7.3.%1 "/>
      <w:lvlJc w:val="left"/>
      <w:pPr>
        <w:tabs>
          <w:tab w:val="left" w:pos="0"/>
        </w:tabs>
        <w:ind w:left="0" w:firstLine="0"/>
      </w:pPr>
      <w:rPr>
        <w:rFonts w:hint="default" w:ascii="Times New Roman" w:hAnsi="Times New Roman" w:eastAsia="宋体" w:cs="Times New Roman"/>
      </w:rPr>
    </w:lvl>
  </w:abstractNum>
  <w:abstractNum w:abstractNumId="5">
    <w:nsid w:val="91778ACB"/>
    <w:multiLevelType w:val="singleLevel"/>
    <w:tmpl w:val="91778ACB"/>
    <w:lvl w:ilvl="0" w:tentative="0">
      <w:start w:val="1"/>
      <w:numFmt w:val="decimal"/>
      <w:suff w:val="nothing"/>
      <w:lvlText w:val="7.9.%1 "/>
      <w:lvlJc w:val="left"/>
      <w:pPr>
        <w:tabs>
          <w:tab w:val="left" w:pos="0"/>
        </w:tabs>
        <w:ind w:left="0" w:firstLine="0"/>
      </w:pPr>
      <w:rPr>
        <w:rFonts w:hint="default" w:ascii="Times New Roman" w:hAnsi="Times New Roman" w:eastAsia="宋体" w:cs="Times New Roman"/>
      </w:rPr>
    </w:lvl>
  </w:abstractNum>
  <w:abstractNum w:abstractNumId="6">
    <w:nsid w:val="9ECEC2AD"/>
    <w:multiLevelType w:val="multilevel"/>
    <w:tmpl w:val="9ECEC2AD"/>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B4304D27"/>
    <w:multiLevelType w:val="singleLevel"/>
    <w:tmpl w:val="B4304D27"/>
    <w:lvl w:ilvl="0" w:tentative="0">
      <w:start w:val="1"/>
      <w:numFmt w:val="decimal"/>
      <w:suff w:val="nothing"/>
      <w:lvlText w:val="7.10.%1 "/>
      <w:lvlJc w:val="left"/>
      <w:pPr>
        <w:tabs>
          <w:tab w:val="left" w:pos="0"/>
        </w:tabs>
        <w:ind w:left="0" w:firstLine="0"/>
      </w:pPr>
      <w:rPr>
        <w:rFonts w:hint="default" w:ascii="Times New Roman" w:hAnsi="Times New Roman" w:eastAsia="宋体" w:cs="Times New Roman"/>
      </w:rPr>
    </w:lvl>
  </w:abstractNum>
  <w:abstractNum w:abstractNumId="8">
    <w:nsid w:val="B4A7457A"/>
    <w:multiLevelType w:val="multilevel"/>
    <w:tmpl w:val="B4A7457A"/>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BACB078C"/>
    <w:multiLevelType w:val="singleLevel"/>
    <w:tmpl w:val="BACB078C"/>
    <w:lvl w:ilvl="0" w:tentative="0">
      <w:start w:val="1"/>
      <w:numFmt w:val="decimal"/>
      <w:lvlText w:val="%1)"/>
      <w:lvlJc w:val="left"/>
      <w:pPr>
        <w:ind w:left="425" w:hanging="425"/>
      </w:pPr>
      <w:rPr>
        <w:rFonts w:hint="default"/>
      </w:rPr>
    </w:lvl>
  </w:abstractNum>
  <w:abstractNum w:abstractNumId="10">
    <w:nsid w:val="BE4EC36D"/>
    <w:multiLevelType w:val="singleLevel"/>
    <w:tmpl w:val="BE4EC36D"/>
    <w:lvl w:ilvl="0" w:tentative="0">
      <w:start w:val="1"/>
      <w:numFmt w:val="lowerLetter"/>
      <w:lvlText w:val="%1）"/>
      <w:lvlJc w:val="left"/>
      <w:pPr>
        <w:tabs>
          <w:tab w:val="left" w:pos="420"/>
        </w:tabs>
        <w:ind w:left="425" w:hanging="425"/>
      </w:pPr>
      <w:rPr>
        <w:rFonts w:hint="default"/>
      </w:rPr>
    </w:lvl>
  </w:abstractNum>
  <w:abstractNum w:abstractNumId="11">
    <w:nsid w:val="BF88CA99"/>
    <w:multiLevelType w:val="multilevel"/>
    <w:tmpl w:val="BF88CA99"/>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C0387D26"/>
    <w:multiLevelType w:val="singleLevel"/>
    <w:tmpl w:val="C0387D26"/>
    <w:lvl w:ilvl="0" w:tentative="0">
      <w:start w:val="1"/>
      <w:numFmt w:val="decimal"/>
      <w:suff w:val="nothing"/>
      <w:lvlText w:val="7.5.%1 "/>
      <w:lvlJc w:val="left"/>
      <w:pPr>
        <w:tabs>
          <w:tab w:val="left" w:pos="0"/>
        </w:tabs>
        <w:ind w:left="0" w:firstLine="0"/>
      </w:pPr>
      <w:rPr>
        <w:rFonts w:hint="default" w:ascii="Times New Roman" w:hAnsi="Times New Roman" w:eastAsia="宋体" w:cs="Times New Roman"/>
      </w:rPr>
    </w:lvl>
  </w:abstractNum>
  <w:abstractNum w:abstractNumId="13">
    <w:nsid w:val="C6E03031"/>
    <w:multiLevelType w:val="multilevel"/>
    <w:tmpl w:val="C6E03031"/>
    <w:lvl w:ilvl="0" w:tentative="0">
      <w:start w:val="1"/>
      <w:numFmt w:val="decimal"/>
      <w:suff w:val="nothing"/>
      <w:lvlText w:val="4.%1 "/>
      <w:lvlJc w:val="left"/>
      <w:pPr>
        <w:tabs>
          <w:tab w:val="left" w:pos="0"/>
        </w:tabs>
        <w:ind w:left="0" w:firstLine="0"/>
      </w:pPr>
      <w:rPr>
        <w:rFonts w:hint="default" w:ascii="Times New Roman" w:hAnsi="Times New Roman" w:eastAsia="宋体" w:cs="Times New Roman"/>
        <w:highlight w:val="none"/>
      </w:rPr>
    </w:lvl>
    <w:lvl w:ilvl="1" w:tentative="0">
      <w:start w:val="1"/>
      <w:numFmt w:val="decimalFullWidth"/>
      <w:lvlText w:val="%2)"/>
      <w:lvlJc w:val="left"/>
      <w:pPr>
        <w:tabs>
          <w:tab w:val="left" w:pos="420"/>
        </w:tabs>
        <w:ind w:left="840" w:hanging="420"/>
      </w:pPr>
      <w:rPr>
        <w:rFonts w:hint="eastAsia" w:ascii="宋体" w:hAnsi="宋体" w:eastAsia="宋体" w:cs="宋体"/>
      </w:rPr>
    </w:lvl>
    <w:lvl w:ilvl="2" w:tentative="0">
      <w:start w:val="1"/>
      <w:numFmt w:val="lowerRoman"/>
      <w:lvlText w:val="%3."/>
      <w:lvlJc w:val="lef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left"/>
      <w:pPr>
        <w:tabs>
          <w:tab w:val="left" w:pos="2520"/>
        </w:tabs>
        <w:ind w:left="2520" w:hanging="420"/>
      </w:pPr>
      <w:rPr>
        <w:rFonts w:hint="eastAsia"/>
      </w:rPr>
    </w:lvl>
    <w:lvl w:ilvl="6" w:tentative="0">
      <w:start w:val="1"/>
      <w:numFmt w:val="decimal"/>
      <w:lvlRestart w:val="5"/>
      <w:lvlText w:val="%7."/>
      <w:lvlJc w:val="left"/>
      <w:pPr>
        <w:tabs>
          <w:tab w:val="left" w:pos="420"/>
        </w:tabs>
        <w:ind w:left="2940" w:hanging="420"/>
      </w:pPr>
      <w:rPr>
        <w:rFonts w:hint="eastAsia" w:ascii="宋体" w:hAnsi="宋体" w:eastAsia="宋体" w:cs="宋体"/>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left"/>
      <w:pPr>
        <w:tabs>
          <w:tab w:val="left" w:pos="3780"/>
        </w:tabs>
        <w:ind w:left="3780" w:hanging="420"/>
      </w:pPr>
      <w:rPr>
        <w:rFonts w:hint="eastAsia"/>
      </w:rPr>
    </w:lvl>
  </w:abstractNum>
  <w:abstractNum w:abstractNumId="14">
    <w:nsid w:val="CB4713D9"/>
    <w:multiLevelType w:val="multilevel"/>
    <w:tmpl w:val="CB4713D9"/>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5">
    <w:nsid w:val="D07E8FF7"/>
    <w:multiLevelType w:val="singleLevel"/>
    <w:tmpl w:val="D07E8FF7"/>
    <w:lvl w:ilvl="0" w:tentative="0">
      <w:start w:val="1"/>
      <w:numFmt w:val="decimal"/>
      <w:suff w:val="nothing"/>
      <w:lvlText w:val="7.8.%1 "/>
      <w:lvlJc w:val="left"/>
      <w:pPr>
        <w:tabs>
          <w:tab w:val="left" w:pos="0"/>
        </w:tabs>
        <w:ind w:left="0" w:firstLine="0"/>
      </w:pPr>
      <w:rPr>
        <w:rFonts w:hint="default" w:ascii="Times New Roman" w:hAnsi="Times New Roman" w:eastAsia="宋体" w:cs="Times New Roman"/>
      </w:rPr>
    </w:lvl>
  </w:abstractNum>
  <w:abstractNum w:abstractNumId="16">
    <w:nsid w:val="D083978F"/>
    <w:multiLevelType w:val="multilevel"/>
    <w:tmpl w:val="D083978F"/>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7">
    <w:nsid w:val="D0E98FFE"/>
    <w:multiLevelType w:val="multilevel"/>
    <w:tmpl w:val="D0E98FFE"/>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8">
    <w:nsid w:val="D61D3301"/>
    <w:multiLevelType w:val="singleLevel"/>
    <w:tmpl w:val="D61D3301"/>
    <w:lvl w:ilvl="0" w:tentative="0">
      <w:start w:val="1"/>
      <w:numFmt w:val="decimal"/>
      <w:lvlText w:val="[%1] "/>
      <w:lvlJc w:val="left"/>
      <w:pPr>
        <w:tabs>
          <w:tab w:val="left" w:pos="420"/>
        </w:tabs>
        <w:ind w:left="425" w:hanging="425"/>
      </w:pPr>
      <w:rPr>
        <w:rFonts w:hint="default" w:ascii="Times New Roman" w:hAnsi="Times New Roman" w:cs="Times New Roman"/>
      </w:rPr>
    </w:lvl>
  </w:abstractNum>
  <w:abstractNum w:abstractNumId="19">
    <w:nsid w:val="E2B8D190"/>
    <w:multiLevelType w:val="multilevel"/>
    <w:tmpl w:val="E2B8D190"/>
    <w:lvl w:ilvl="0" w:tentative="0">
      <w:start w:val="1"/>
      <w:numFmt w:val="decimal"/>
      <w:suff w:val="nothing"/>
      <w:lvlText w:val="7.7.%1 "/>
      <w:lvlJc w:val="left"/>
      <w:pPr>
        <w:tabs>
          <w:tab w:val="left" w:pos="0"/>
        </w:tabs>
        <w:ind w:left="0" w:firstLine="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0">
    <w:nsid w:val="F0EA9E05"/>
    <w:multiLevelType w:val="singleLevel"/>
    <w:tmpl w:val="F0EA9E05"/>
    <w:lvl w:ilvl="0" w:tentative="0">
      <w:start w:val="1"/>
      <w:numFmt w:val="decimal"/>
      <w:suff w:val="nothing"/>
      <w:lvlText w:val="5.2.%1 "/>
      <w:lvlJc w:val="left"/>
      <w:pPr>
        <w:tabs>
          <w:tab w:val="left" w:pos="0"/>
        </w:tabs>
        <w:ind w:left="0" w:firstLine="0"/>
      </w:pPr>
      <w:rPr>
        <w:rFonts w:hint="default" w:ascii="Times New Roman" w:hAnsi="Times New Roman" w:eastAsia="宋体" w:cs="Times New Roman"/>
      </w:rPr>
    </w:lvl>
  </w:abstractNum>
  <w:abstractNum w:abstractNumId="21">
    <w:nsid w:val="F3FF8BB9"/>
    <w:multiLevelType w:val="multilevel"/>
    <w:tmpl w:val="F3FF8BB9"/>
    <w:lvl w:ilvl="0" w:tentative="0">
      <w:start w:val="1"/>
      <w:numFmt w:val="decimal"/>
      <w:suff w:val="nothing"/>
      <w:lvlText w:val="6.%1 "/>
      <w:lvlJc w:val="left"/>
      <w:pPr>
        <w:tabs>
          <w:tab w:val="left" w:pos="0"/>
        </w:tabs>
        <w:ind w:left="0" w:firstLine="0"/>
      </w:pPr>
      <w:rPr>
        <w:rFonts w:hint="default" w:ascii="Times New Roman" w:hAnsi="Times New Roman" w:eastAsia="宋体" w:cs="Times New Roman"/>
        <w:highlight w:val="none"/>
      </w:rPr>
    </w:lvl>
    <w:lvl w:ilvl="1" w:tentative="0">
      <w:start w:val="1"/>
      <w:numFmt w:val="decimalFullWidth"/>
      <w:lvlText w:val="%2)"/>
      <w:lvlJc w:val="left"/>
      <w:pPr>
        <w:tabs>
          <w:tab w:val="left" w:pos="420"/>
        </w:tabs>
        <w:ind w:left="840" w:hanging="420"/>
      </w:pPr>
      <w:rPr>
        <w:rFonts w:hint="eastAsia" w:ascii="宋体" w:hAnsi="宋体" w:eastAsia="宋体" w:cs="宋体"/>
      </w:rPr>
    </w:lvl>
    <w:lvl w:ilvl="2" w:tentative="0">
      <w:start w:val="1"/>
      <w:numFmt w:val="lowerRoman"/>
      <w:lvlText w:val="%3."/>
      <w:lvlJc w:val="lef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left"/>
      <w:pPr>
        <w:tabs>
          <w:tab w:val="left" w:pos="2520"/>
        </w:tabs>
        <w:ind w:left="2520" w:hanging="420"/>
      </w:pPr>
      <w:rPr>
        <w:rFonts w:hint="eastAsia"/>
      </w:rPr>
    </w:lvl>
    <w:lvl w:ilvl="6" w:tentative="0">
      <w:start w:val="1"/>
      <w:numFmt w:val="decimal"/>
      <w:lvlRestart w:val="5"/>
      <w:lvlText w:val="%7."/>
      <w:lvlJc w:val="left"/>
      <w:pPr>
        <w:tabs>
          <w:tab w:val="left" w:pos="420"/>
        </w:tabs>
        <w:ind w:left="2940" w:hanging="420"/>
      </w:pPr>
      <w:rPr>
        <w:rFonts w:hint="eastAsia" w:ascii="宋体" w:hAnsi="宋体" w:eastAsia="宋体" w:cs="宋体"/>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left"/>
      <w:pPr>
        <w:tabs>
          <w:tab w:val="left" w:pos="3780"/>
        </w:tabs>
        <w:ind w:left="3780" w:hanging="420"/>
      </w:pPr>
      <w:rPr>
        <w:rFonts w:hint="eastAsia"/>
      </w:rPr>
    </w:lvl>
  </w:abstractNum>
  <w:abstractNum w:abstractNumId="22">
    <w:nsid w:val="00000003"/>
    <w:multiLevelType w:val="multilevel"/>
    <w:tmpl w:val="00000003"/>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szCs w:val="21"/>
      </w:rPr>
    </w:lvl>
    <w:lvl w:ilvl="2" w:tentative="0">
      <w:start w:val="1"/>
      <w:numFmt w:val="decimal"/>
      <w:suff w:val="nothing"/>
      <w:lvlText w:val="%1%2.%3　"/>
      <w:lvlJc w:val="left"/>
      <w:pPr>
        <w:ind w:left="284" w:firstLine="0"/>
      </w:pPr>
      <w:rPr>
        <w:rFonts w:hint="eastAsia" w:ascii="黑体" w:hAnsi="Times New Roman"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07ED3FEA"/>
    <w:multiLevelType w:val="multilevel"/>
    <w:tmpl w:val="07ED3FEA"/>
    <w:lvl w:ilvl="0" w:tentative="0">
      <w:start w:val="1"/>
      <w:numFmt w:val="none"/>
      <w:pStyle w:val="30"/>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0F9BCBAE"/>
    <w:multiLevelType w:val="singleLevel"/>
    <w:tmpl w:val="0F9BCBAE"/>
    <w:lvl w:ilvl="0" w:tentative="0">
      <w:start w:val="1"/>
      <w:numFmt w:val="decimal"/>
      <w:lvlText w:val="%1)"/>
      <w:lvlJc w:val="left"/>
      <w:pPr>
        <w:ind w:left="425" w:hanging="425"/>
      </w:pPr>
      <w:rPr>
        <w:rFonts w:hint="default"/>
      </w:rPr>
    </w:lvl>
  </w:abstractNum>
  <w:abstractNum w:abstractNumId="25">
    <w:nsid w:val="194010AA"/>
    <w:multiLevelType w:val="singleLevel"/>
    <w:tmpl w:val="194010AA"/>
    <w:lvl w:ilvl="0" w:tentative="0">
      <w:start w:val="1"/>
      <w:numFmt w:val="lowerLetter"/>
      <w:lvlText w:val="%1）"/>
      <w:lvlJc w:val="left"/>
      <w:pPr>
        <w:tabs>
          <w:tab w:val="left" w:pos="420"/>
        </w:tabs>
        <w:ind w:left="425" w:hanging="425"/>
      </w:pPr>
      <w:rPr>
        <w:rFonts w:hint="default"/>
      </w:rPr>
    </w:lvl>
  </w:abstractNum>
  <w:abstractNum w:abstractNumId="26">
    <w:nsid w:val="20667A98"/>
    <w:multiLevelType w:val="singleLevel"/>
    <w:tmpl w:val="20667A98"/>
    <w:lvl w:ilvl="0" w:tentative="0">
      <w:start w:val="1"/>
      <w:numFmt w:val="lowerLetter"/>
      <w:lvlText w:val="%1）"/>
      <w:lvlJc w:val="left"/>
      <w:pPr>
        <w:tabs>
          <w:tab w:val="left" w:pos="420"/>
        </w:tabs>
        <w:ind w:left="425" w:hanging="425"/>
      </w:pPr>
      <w:rPr>
        <w:rFonts w:hint="default"/>
      </w:rPr>
    </w:lvl>
  </w:abstractNum>
  <w:abstractNum w:abstractNumId="27">
    <w:nsid w:val="2C5917C3"/>
    <w:multiLevelType w:val="multilevel"/>
    <w:tmpl w:val="2C5917C3"/>
    <w:lvl w:ilvl="0" w:tentative="0">
      <w:start w:val="1"/>
      <w:numFmt w:val="none"/>
      <w:pStyle w:val="31"/>
      <w:lvlText w:val="%1——"/>
      <w:lvlJc w:val="left"/>
      <w:pPr>
        <w:tabs>
          <w:tab w:val="left" w:pos="2978"/>
        </w:tabs>
        <w:ind w:left="2978" w:hanging="426"/>
      </w:pPr>
      <w:rPr>
        <w:rFonts w:hint="eastAsia" w:ascii="宋体" w:hAnsi="Times New Roman" w:eastAsia="宋体"/>
        <w:b w:val="0"/>
        <w:i w:val="0"/>
        <w:sz w:val="21"/>
        <w:lang w:val="en-US"/>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8">
    <w:nsid w:val="4DBBCEAE"/>
    <w:multiLevelType w:val="multilevel"/>
    <w:tmpl w:val="4DBBCEAE"/>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9">
    <w:nsid w:val="5D54F4E6"/>
    <w:multiLevelType w:val="multilevel"/>
    <w:tmpl w:val="5D54F4E6"/>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0">
    <w:nsid w:val="6B66069D"/>
    <w:multiLevelType w:val="singleLevel"/>
    <w:tmpl w:val="6B66069D"/>
    <w:lvl w:ilvl="0" w:tentative="0">
      <w:start w:val="1"/>
      <w:numFmt w:val="decimal"/>
      <w:suff w:val="nothing"/>
      <w:lvlText w:val="7.2.%1 "/>
      <w:lvlJc w:val="left"/>
      <w:pPr>
        <w:tabs>
          <w:tab w:val="left" w:pos="0"/>
        </w:tabs>
        <w:ind w:left="0" w:firstLine="0"/>
      </w:pPr>
      <w:rPr>
        <w:rFonts w:hint="default" w:ascii="Times New Roman" w:hAnsi="Times New Roman" w:eastAsia="宋体" w:cs="Times New Roman"/>
      </w:rPr>
    </w:lvl>
  </w:abstractNum>
  <w:abstractNum w:abstractNumId="3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3"/>
      <w:suff w:val="nothing"/>
      <w:lvlText w:val="%1%2　"/>
      <w:lvlJc w:val="left"/>
      <w:pPr>
        <w:ind w:left="0" w:firstLine="0"/>
      </w:pPr>
      <w:rPr>
        <w:rFonts w:hint="eastAsia" w:ascii="黑体" w:eastAsia="黑体"/>
        <w:b w:val="0"/>
        <w:i w:val="0"/>
        <w:sz w:val="21"/>
      </w:rPr>
    </w:lvl>
    <w:lvl w:ilvl="2" w:tentative="0">
      <w:start w:val="1"/>
      <w:numFmt w:val="decimal"/>
      <w:pStyle w:val="36"/>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3403"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4B6EFE"/>
    <w:multiLevelType w:val="multilevel"/>
    <w:tmpl w:val="6D4B6EFE"/>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3">
    <w:nsid w:val="740E8028"/>
    <w:multiLevelType w:val="multilevel"/>
    <w:tmpl w:val="740E8028"/>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4">
    <w:nsid w:val="7A86DA82"/>
    <w:multiLevelType w:val="multilevel"/>
    <w:tmpl w:val="7A86DA82"/>
    <w:lvl w:ilvl="0" w:tentative="0">
      <w:start w:val="1"/>
      <w:numFmt w:val="lowerLetter"/>
      <w:lvlText w:val="%1）"/>
      <w:lvlJc w:val="left"/>
      <w:pPr>
        <w:tabs>
          <w:tab w:val="left" w:pos="420"/>
        </w:tabs>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5">
    <w:nsid w:val="7E76B821"/>
    <w:multiLevelType w:val="singleLevel"/>
    <w:tmpl w:val="7E76B821"/>
    <w:lvl w:ilvl="0" w:tentative="0">
      <w:start w:val="1"/>
      <w:numFmt w:val="decimal"/>
      <w:suff w:val="nothing"/>
      <w:lvlText w:val="7.6.%1 "/>
      <w:lvlJc w:val="left"/>
      <w:pPr>
        <w:tabs>
          <w:tab w:val="left" w:pos="0"/>
        </w:tabs>
        <w:ind w:left="0" w:firstLine="0"/>
      </w:pPr>
      <w:rPr>
        <w:rFonts w:hint="default" w:ascii="Times New Roman" w:hAnsi="Times New Roman" w:eastAsia="宋体" w:cs="Times New Roman"/>
      </w:rPr>
    </w:lvl>
  </w:abstractNum>
  <w:num w:numId="1">
    <w:abstractNumId w:val="23"/>
  </w:num>
  <w:num w:numId="2">
    <w:abstractNumId w:val="27"/>
  </w:num>
  <w:num w:numId="3">
    <w:abstractNumId w:val="31"/>
  </w:num>
  <w:num w:numId="4">
    <w:abstractNumId w:val="22"/>
  </w:num>
  <w:num w:numId="5">
    <w:abstractNumId w:val="13"/>
  </w:num>
  <w:num w:numId="6">
    <w:abstractNumId w:val="1"/>
  </w:num>
  <w:num w:numId="7">
    <w:abstractNumId w:val="25"/>
  </w:num>
  <w:num w:numId="8">
    <w:abstractNumId w:val="10"/>
  </w:num>
  <w:num w:numId="9">
    <w:abstractNumId w:val="28"/>
  </w:num>
  <w:num w:numId="10">
    <w:abstractNumId w:val="20"/>
  </w:num>
  <w:num w:numId="11">
    <w:abstractNumId w:val="26"/>
  </w:num>
  <w:num w:numId="12">
    <w:abstractNumId w:val="6"/>
  </w:num>
  <w:num w:numId="13">
    <w:abstractNumId w:val="11"/>
  </w:num>
  <w:num w:numId="14">
    <w:abstractNumId w:val="21"/>
  </w:num>
  <w:num w:numId="15">
    <w:abstractNumId w:val="29"/>
  </w:num>
  <w:num w:numId="16">
    <w:abstractNumId w:val="24"/>
  </w:num>
  <w:num w:numId="17">
    <w:abstractNumId w:val="9"/>
  </w:num>
  <w:num w:numId="18">
    <w:abstractNumId w:val="34"/>
  </w:num>
  <w:num w:numId="19">
    <w:abstractNumId w:val="2"/>
  </w:num>
  <w:num w:numId="20">
    <w:abstractNumId w:val="30"/>
  </w:num>
  <w:num w:numId="21">
    <w:abstractNumId w:val="4"/>
  </w:num>
  <w:num w:numId="22">
    <w:abstractNumId w:val="14"/>
  </w:num>
  <w:num w:numId="23">
    <w:abstractNumId w:val="8"/>
  </w:num>
  <w:num w:numId="24">
    <w:abstractNumId w:val="0"/>
  </w:num>
  <w:num w:numId="25">
    <w:abstractNumId w:val="12"/>
  </w:num>
  <w:num w:numId="26">
    <w:abstractNumId w:val="35"/>
  </w:num>
  <w:num w:numId="27">
    <w:abstractNumId w:val="19"/>
  </w:num>
  <w:num w:numId="28">
    <w:abstractNumId w:val="16"/>
  </w:num>
  <w:num w:numId="29">
    <w:abstractNumId w:val="15"/>
  </w:num>
  <w:num w:numId="30">
    <w:abstractNumId w:val="32"/>
  </w:num>
  <w:num w:numId="31">
    <w:abstractNumId w:val="5"/>
  </w:num>
  <w:num w:numId="32">
    <w:abstractNumId w:val="33"/>
  </w:num>
  <w:num w:numId="33">
    <w:abstractNumId w:val="7"/>
  </w:num>
  <w:num w:numId="34">
    <w:abstractNumId w:val="17"/>
  </w:num>
  <w:num w:numId="35">
    <w:abstractNumId w:val="3"/>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4066AA"/>
    <w:rsid w:val="000E5D71"/>
    <w:rsid w:val="00463627"/>
    <w:rsid w:val="004D0517"/>
    <w:rsid w:val="006B6D1F"/>
    <w:rsid w:val="007D6795"/>
    <w:rsid w:val="00856A47"/>
    <w:rsid w:val="009C276F"/>
    <w:rsid w:val="00AD6DFF"/>
    <w:rsid w:val="00C53715"/>
    <w:rsid w:val="00C621A8"/>
    <w:rsid w:val="00E21F15"/>
    <w:rsid w:val="00FC3E1B"/>
    <w:rsid w:val="011473B7"/>
    <w:rsid w:val="01170C55"/>
    <w:rsid w:val="014F7D85"/>
    <w:rsid w:val="017E77AA"/>
    <w:rsid w:val="01885C73"/>
    <w:rsid w:val="01973B44"/>
    <w:rsid w:val="01F80A87"/>
    <w:rsid w:val="021D2D7C"/>
    <w:rsid w:val="02493EC4"/>
    <w:rsid w:val="025263E9"/>
    <w:rsid w:val="026E2AF7"/>
    <w:rsid w:val="03072494"/>
    <w:rsid w:val="030A6CC4"/>
    <w:rsid w:val="03610A19"/>
    <w:rsid w:val="036A7762"/>
    <w:rsid w:val="037C1244"/>
    <w:rsid w:val="038E3EE8"/>
    <w:rsid w:val="03CA7149"/>
    <w:rsid w:val="04230985"/>
    <w:rsid w:val="042E69E2"/>
    <w:rsid w:val="043833BC"/>
    <w:rsid w:val="04626599"/>
    <w:rsid w:val="04BC7C2A"/>
    <w:rsid w:val="04CE1F73"/>
    <w:rsid w:val="04DA3EC6"/>
    <w:rsid w:val="04F217BD"/>
    <w:rsid w:val="05122D39"/>
    <w:rsid w:val="056A6230"/>
    <w:rsid w:val="058645FB"/>
    <w:rsid w:val="05EE467B"/>
    <w:rsid w:val="06010068"/>
    <w:rsid w:val="062260D2"/>
    <w:rsid w:val="064047AA"/>
    <w:rsid w:val="06733BD7"/>
    <w:rsid w:val="06AB256C"/>
    <w:rsid w:val="06D4668A"/>
    <w:rsid w:val="06FF2B5E"/>
    <w:rsid w:val="073B6A3E"/>
    <w:rsid w:val="075527EB"/>
    <w:rsid w:val="07CF5DE6"/>
    <w:rsid w:val="07E06245"/>
    <w:rsid w:val="07EA2C20"/>
    <w:rsid w:val="081A4F5B"/>
    <w:rsid w:val="081D2FF5"/>
    <w:rsid w:val="0883357E"/>
    <w:rsid w:val="08DE6A9E"/>
    <w:rsid w:val="08E6609D"/>
    <w:rsid w:val="08FF094D"/>
    <w:rsid w:val="090E41FF"/>
    <w:rsid w:val="091B505B"/>
    <w:rsid w:val="09385B2A"/>
    <w:rsid w:val="095664BF"/>
    <w:rsid w:val="09CF319C"/>
    <w:rsid w:val="09D403DB"/>
    <w:rsid w:val="09F45FD8"/>
    <w:rsid w:val="0A1B7A08"/>
    <w:rsid w:val="0A96486B"/>
    <w:rsid w:val="0AAA398C"/>
    <w:rsid w:val="0AB059B8"/>
    <w:rsid w:val="0AC03FC3"/>
    <w:rsid w:val="0AC0410C"/>
    <w:rsid w:val="0AD33BF4"/>
    <w:rsid w:val="0AD55A2E"/>
    <w:rsid w:val="0ADB5B06"/>
    <w:rsid w:val="0AE33940"/>
    <w:rsid w:val="0AF12355"/>
    <w:rsid w:val="0B3341A8"/>
    <w:rsid w:val="0B3E7836"/>
    <w:rsid w:val="0B602DC9"/>
    <w:rsid w:val="0B811AED"/>
    <w:rsid w:val="0BC11EE9"/>
    <w:rsid w:val="0BE71192"/>
    <w:rsid w:val="0C8B3404"/>
    <w:rsid w:val="0C945850"/>
    <w:rsid w:val="0CA05FA3"/>
    <w:rsid w:val="0CA62E68"/>
    <w:rsid w:val="0CB97065"/>
    <w:rsid w:val="0CBA4CF4"/>
    <w:rsid w:val="0CC46135"/>
    <w:rsid w:val="0CD4571F"/>
    <w:rsid w:val="0CE374AC"/>
    <w:rsid w:val="0D091671"/>
    <w:rsid w:val="0D4B549C"/>
    <w:rsid w:val="0DCF50B8"/>
    <w:rsid w:val="0DF03E9C"/>
    <w:rsid w:val="0DF77E44"/>
    <w:rsid w:val="0E2624D8"/>
    <w:rsid w:val="0E2F4C4F"/>
    <w:rsid w:val="0E3630C5"/>
    <w:rsid w:val="0E6B438E"/>
    <w:rsid w:val="0E7A5FFF"/>
    <w:rsid w:val="0EF42A87"/>
    <w:rsid w:val="0EF8002C"/>
    <w:rsid w:val="0F00541F"/>
    <w:rsid w:val="0F3F074C"/>
    <w:rsid w:val="0F451E96"/>
    <w:rsid w:val="0F485843"/>
    <w:rsid w:val="0F59068B"/>
    <w:rsid w:val="0F6634D4"/>
    <w:rsid w:val="0F6F45C4"/>
    <w:rsid w:val="0F7D081D"/>
    <w:rsid w:val="0F81467B"/>
    <w:rsid w:val="0FA45DAA"/>
    <w:rsid w:val="0FB971A8"/>
    <w:rsid w:val="0FD75B4F"/>
    <w:rsid w:val="0FE4669F"/>
    <w:rsid w:val="0FF62A60"/>
    <w:rsid w:val="10233173"/>
    <w:rsid w:val="10345380"/>
    <w:rsid w:val="105A1202"/>
    <w:rsid w:val="10656069"/>
    <w:rsid w:val="10B12497"/>
    <w:rsid w:val="10B244F7"/>
    <w:rsid w:val="10CA5CE4"/>
    <w:rsid w:val="10E15F95"/>
    <w:rsid w:val="11321BCE"/>
    <w:rsid w:val="114E421F"/>
    <w:rsid w:val="116263B8"/>
    <w:rsid w:val="117D4B05"/>
    <w:rsid w:val="119C142F"/>
    <w:rsid w:val="11AC3337"/>
    <w:rsid w:val="11D34C34"/>
    <w:rsid w:val="11ED1C8A"/>
    <w:rsid w:val="11F5718A"/>
    <w:rsid w:val="12266F4A"/>
    <w:rsid w:val="125E7BB8"/>
    <w:rsid w:val="12627883"/>
    <w:rsid w:val="12847E19"/>
    <w:rsid w:val="12B26A30"/>
    <w:rsid w:val="12D06EB6"/>
    <w:rsid w:val="12D60970"/>
    <w:rsid w:val="13286CF2"/>
    <w:rsid w:val="132C0357"/>
    <w:rsid w:val="13586526"/>
    <w:rsid w:val="136F7E44"/>
    <w:rsid w:val="13AC16D1"/>
    <w:rsid w:val="13E10C14"/>
    <w:rsid w:val="13E12CC7"/>
    <w:rsid w:val="13F418A7"/>
    <w:rsid w:val="14004C89"/>
    <w:rsid w:val="14060DE1"/>
    <w:rsid w:val="141E3B44"/>
    <w:rsid w:val="14250A4A"/>
    <w:rsid w:val="14302302"/>
    <w:rsid w:val="14696D92"/>
    <w:rsid w:val="147449A5"/>
    <w:rsid w:val="148A7C64"/>
    <w:rsid w:val="14BF71E2"/>
    <w:rsid w:val="14D925D2"/>
    <w:rsid w:val="15192D96"/>
    <w:rsid w:val="152B62AA"/>
    <w:rsid w:val="15520056"/>
    <w:rsid w:val="1594066F"/>
    <w:rsid w:val="15984869"/>
    <w:rsid w:val="15AD4338"/>
    <w:rsid w:val="164164CC"/>
    <w:rsid w:val="16461969"/>
    <w:rsid w:val="165D4F05"/>
    <w:rsid w:val="166F55EB"/>
    <w:rsid w:val="16AB5C70"/>
    <w:rsid w:val="16FF760F"/>
    <w:rsid w:val="17687AF5"/>
    <w:rsid w:val="17860013"/>
    <w:rsid w:val="17CE70F8"/>
    <w:rsid w:val="17D66D1D"/>
    <w:rsid w:val="182A6BA6"/>
    <w:rsid w:val="187004C1"/>
    <w:rsid w:val="18B057C0"/>
    <w:rsid w:val="18C80D5B"/>
    <w:rsid w:val="18CE4C04"/>
    <w:rsid w:val="18E45469"/>
    <w:rsid w:val="19115BEB"/>
    <w:rsid w:val="19371A3D"/>
    <w:rsid w:val="19377C8F"/>
    <w:rsid w:val="1978350E"/>
    <w:rsid w:val="199C1B44"/>
    <w:rsid w:val="1A0A0EFF"/>
    <w:rsid w:val="1A271AB1"/>
    <w:rsid w:val="1A2C356C"/>
    <w:rsid w:val="1A584361"/>
    <w:rsid w:val="1A940F04"/>
    <w:rsid w:val="1ABC5311"/>
    <w:rsid w:val="1AEE012B"/>
    <w:rsid w:val="1B031464"/>
    <w:rsid w:val="1B100797"/>
    <w:rsid w:val="1B526745"/>
    <w:rsid w:val="1B7D1A47"/>
    <w:rsid w:val="1B9E3FF5"/>
    <w:rsid w:val="1BDF39E0"/>
    <w:rsid w:val="1C0302FC"/>
    <w:rsid w:val="1C2370DD"/>
    <w:rsid w:val="1C2802E4"/>
    <w:rsid w:val="1C8A3BBB"/>
    <w:rsid w:val="1C9D605B"/>
    <w:rsid w:val="1CD203FA"/>
    <w:rsid w:val="1D27085C"/>
    <w:rsid w:val="1D315A80"/>
    <w:rsid w:val="1D400437"/>
    <w:rsid w:val="1D6B43AB"/>
    <w:rsid w:val="1D6F5C49"/>
    <w:rsid w:val="1DD12460"/>
    <w:rsid w:val="1E0E30E2"/>
    <w:rsid w:val="1E124827"/>
    <w:rsid w:val="1E4C0750"/>
    <w:rsid w:val="1E525B7D"/>
    <w:rsid w:val="1E635082"/>
    <w:rsid w:val="1E66163B"/>
    <w:rsid w:val="1EB0274C"/>
    <w:rsid w:val="1EC8217E"/>
    <w:rsid w:val="1ED146E2"/>
    <w:rsid w:val="1EEA566D"/>
    <w:rsid w:val="1F151DE8"/>
    <w:rsid w:val="1F1E3599"/>
    <w:rsid w:val="1F3F20C1"/>
    <w:rsid w:val="1F903C55"/>
    <w:rsid w:val="1FE87F35"/>
    <w:rsid w:val="20061AB1"/>
    <w:rsid w:val="202A5E57"/>
    <w:rsid w:val="203E1903"/>
    <w:rsid w:val="204D0F77"/>
    <w:rsid w:val="206375BB"/>
    <w:rsid w:val="208C08C0"/>
    <w:rsid w:val="20AF45AF"/>
    <w:rsid w:val="20C242E2"/>
    <w:rsid w:val="20CC6F0F"/>
    <w:rsid w:val="20F05E8F"/>
    <w:rsid w:val="21052421"/>
    <w:rsid w:val="212E1977"/>
    <w:rsid w:val="214A121A"/>
    <w:rsid w:val="216C24A0"/>
    <w:rsid w:val="217C1EE0"/>
    <w:rsid w:val="21AB1D0D"/>
    <w:rsid w:val="2221328A"/>
    <w:rsid w:val="225765DA"/>
    <w:rsid w:val="22AF6AE8"/>
    <w:rsid w:val="22B65B64"/>
    <w:rsid w:val="22D63328"/>
    <w:rsid w:val="230D6E6E"/>
    <w:rsid w:val="231D1CA3"/>
    <w:rsid w:val="23323177"/>
    <w:rsid w:val="234D57A9"/>
    <w:rsid w:val="235D5B74"/>
    <w:rsid w:val="236C35A8"/>
    <w:rsid w:val="236E69A3"/>
    <w:rsid w:val="23A3664D"/>
    <w:rsid w:val="23BB2A84"/>
    <w:rsid w:val="23C03A53"/>
    <w:rsid w:val="24062738"/>
    <w:rsid w:val="245C2C9F"/>
    <w:rsid w:val="24DD5B8E"/>
    <w:rsid w:val="2502304A"/>
    <w:rsid w:val="254B4931"/>
    <w:rsid w:val="254E63C5"/>
    <w:rsid w:val="257C1E90"/>
    <w:rsid w:val="25E877BF"/>
    <w:rsid w:val="261D3705"/>
    <w:rsid w:val="26362B82"/>
    <w:rsid w:val="265E0436"/>
    <w:rsid w:val="266F04A1"/>
    <w:rsid w:val="26775B6F"/>
    <w:rsid w:val="269E134D"/>
    <w:rsid w:val="26A8134D"/>
    <w:rsid w:val="26D60AE7"/>
    <w:rsid w:val="26F34E2D"/>
    <w:rsid w:val="27303FD5"/>
    <w:rsid w:val="273B4DEE"/>
    <w:rsid w:val="279D7857"/>
    <w:rsid w:val="27B0758A"/>
    <w:rsid w:val="27D36DD5"/>
    <w:rsid w:val="28616AD6"/>
    <w:rsid w:val="286D688E"/>
    <w:rsid w:val="28A6273B"/>
    <w:rsid w:val="28AD1D1C"/>
    <w:rsid w:val="28BF09DE"/>
    <w:rsid w:val="28C50E13"/>
    <w:rsid w:val="28F33FB6"/>
    <w:rsid w:val="297D16EE"/>
    <w:rsid w:val="29943785"/>
    <w:rsid w:val="29970C8B"/>
    <w:rsid w:val="29B449E4"/>
    <w:rsid w:val="2A135BAE"/>
    <w:rsid w:val="2A443FBA"/>
    <w:rsid w:val="2A7C3754"/>
    <w:rsid w:val="2A830F86"/>
    <w:rsid w:val="2A873095"/>
    <w:rsid w:val="2AC033A1"/>
    <w:rsid w:val="2AED5288"/>
    <w:rsid w:val="2AF74AFF"/>
    <w:rsid w:val="2B180D39"/>
    <w:rsid w:val="2B8E4383"/>
    <w:rsid w:val="2BCC4267"/>
    <w:rsid w:val="2C0C6D59"/>
    <w:rsid w:val="2C7C4B86"/>
    <w:rsid w:val="2C7E4E1E"/>
    <w:rsid w:val="2CBA67B5"/>
    <w:rsid w:val="2D0068BE"/>
    <w:rsid w:val="2D5C161A"/>
    <w:rsid w:val="2D5C6234"/>
    <w:rsid w:val="2D6230D5"/>
    <w:rsid w:val="2D745CCF"/>
    <w:rsid w:val="2DC27C55"/>
    <w:rsid w:val="2DF834D7"/>
    <w:rsid w:val="2DFE26D1"/>
    <w:rsid w:val="2E156399"/>
    <w:rsid w:val="2E6E5AA9"/>
    <w:rsid w:val="2E8B0409"/>
    <w:rsid w:val="2E8B21B7"/>
    <w:rsid w:val="2E985910"/>
    <w:rsid w:val="2EED10C4"/>
    <w:rsid w:val="2F3F11F4"/>
    <w:rsid w:val="2F590C97"/>
    <w:rsid w:val="2F8B61E7"/>
    <w:rsid w:val="2FB33B04"/>
    <w:rsid w:val="302723B3"/>
    <w:rsid w:val="30457E51"/>
    <w:rsid w:val="30684CF1"/>
    <w:rsid w:val="30A15A78"/>
    <w:rsid w:val="31771119"/>
    <w:rsid w:val="31AF08B2"/>
    <w:rsid w:val="31B859B9"/>
    <w:rsid w:val="31B9528D"/>
    <w:rsid w:val="31EA6E54"/>
    <w:rsid w:val="31F07DAC"/>
    <w:rsid w:val="31F97D80"/>
    <w:rsid w:val="320D2138"/>
    <w:rsid w:val="32382656"/>
    <w:rsid w:val="32427031"/>
    <w:rsid w:val="325A2405"/>
    <w:rsid w:val="325B63D6"/>
    <w:rsid w:val="32FF1DDA"/>
    <w:rsid w:val="33260D24"/>
    <w:rsid w:val="339C4B62"/>
    <w:rsid w:val="339F22DD"/>
    <w:rsid w:val="33C5616B"/>
    <w:rsid w:val="344A2B14"/>
    <w:rsid w:val="345179FF"/>
    <w:rsid w:val="34540431"/>
    <w:rsid w:val="346516FC"/>
    <w:rsid w:val="34AA3956"/>
    <w:rsid w:val="34C242F7"/>
    <w:rsid w:val="34DA5C46"/>
    <w:rsid w:val="35272028"/>
    <w:rsid w:val="353C15E7"/>
    <w:rsid w:val="35812566"/>
    <w:rsid w:val="35942299"/>
    <w:rsid w:val="35F27157"/>
    <w:rsid w:val="35F66F28"/>
    <w:rsid w:val="36301896"/>
    <w:rsid w:val="369B0569"/>
    <w:rsid w:val="371116C7"/>
    <w:rsid w:val="372431A9"/>
    <w:rsid w:val="375E25FC"/>
    <w:rsid w:val="37734130"/>
    <w:rsid w:val="379530C6"/>
    <w:rsid w:val="37A46A7D"/>
    <w:rsid w:val="37B7226F"/>
    <w:rsid w:val="37BF52F8"/>
    <w:rsid w:val="37CD55EE"/>
    <w:rsid w:val="37E272B1"/>
    <w:rsid w:val="384B3C22"/>
    <w:rsid w:val="387D1134"/>
    <w:rsid w:val="38866075"/>
    <w:rsid w:val="393F0DD8"/>
    <w:rsid w:val="39D47E21"/>
    <w:rsid w:val="39F12432"/>
    <w:rsid w:val="3A5A5B9F"/>
    <w:rsid w:val="3A721999"/>
    <w:rsid w:val="3A9618FD"/>
    <w:rsid w:val="3ADE1089"/>
    <w:rsid w:val="3B3D2A8B"/>
    <w:rsid w:val="3B5D312D"/>
    <w:rsid w:val="3BC74A4B"/>
    <w:rsid w:val="3BD06078"/>
    <w:rsid w:val="3BE13D5E"/>
    <w:rsid w:val="3BEB0B81"/>
    <w:rsid w:val="3C003E02"/>
    <w:rsid w:val="3C4E06F9"/>
    <w:rsid w:val="3C7308EA"/>
    <w:rsid w:val="3C7544A7"/>
    <w:rsid w:val="3C927D7C"/>
    <w:rsid w:val="3C9A513B"/>
    <w:rsid w:val="3CA8487C"/>
    <w:rsid w:val="3CFE26EE"/>
    <w:rsid w:val="3D1A1A2F"/>
    <w:rsid w:val="3D235CB1"/>
    <w:rsid w:val="3DAC3EF8"/>
    <w:rsid w:val="3DC10249"/>
    <w:rsid w:val="3DC512A1"/>
    <w:rsid w:val="3E157CEF"/>
    <w:rsid w:val="3E1C7765"/>
    <w:rsid w:val="3E78202C"/>
    <w:rsid w:val="3EC55271"/>
    <w:rsid w:val="3ECB1C12"/>
    <w:rsid w:val="3ED4227F"/>
    <w:rsid w:val="3EF66636"/>
    <w:rsid w:val="3F151543"/>
    <w:rsid w:val="3F1B75E6"/>
    <w:rsid w:val="3F6A406B"/>
    <w:rsid w:val="3FAF7CCF"/>
    <w:rsid w:val="3FCD73F8"/>
    <w:rsid w:val="3FD36D00"/>
    <w:rsid w:val="3FD87448"/>
    <w:rsid w:val="40230FF2"/>
    <w:rsid w:val="40451082"/>
    <w:rsid w:val="40491F46"/>
    <w:rsid w:val="404C3770"/>
    <w:rsid w:val="405A2ED9"/>
    <w:rsid w:val="407E671F"/>
    <w:rsid w:val="409B3CAE"/>
    <w:rsid w:val="40C1109A"/>
    <w:rsid w:val="40C907D4"/>
    <w:rsid w:val="40CA1067"/>
    <w:rsid w:val="4101455B"/>
    <w:rsid w:val="41141A32"/>
    <w:rsid w:val="41176306"/>
    <w:rsid w:val="41662610"/>
    <w:rsid w:val="41697920"/>
    <w:rsid w:val="419260FF"/>
    <w:rsid w:val="4193340B"/>
    <w:rsid w:val="41A12641"/>
    <w:rsid w:val="41AA392E"/>
    <w:rsid w:val="41C61D9D"/>
    <w:rsid w:val="41D61543"/>
    <w:rsid w:val="42484FFD"/>
    <w:rsid w:val="42660B19"/>
    <w:rsid w:val="42A17DA3"/>
    <w:rsid w:val="42A6360C"/>
    <w:rsid w:val="42AC04F6"/>
    <w:rsid w:val="431F6F1A"/>
    <w:rsid w:val="43282273"/>
    <w:rsid w:val="43B90769"/>
    <w:rsid w:val="43CA22D6"/>
    <w:rsid w:val="44153C7F"/>
    <w:rsid w:val="441A74D6"/>
    <w:rsid w:val="443E197A"/>
    <w:rsid w:val="450D7972"/>
    <w:rsid w:val="452E1696"/>
    <w:rsid w:val="454669E0"/>
    <w:rsid w:val="45561319"/>
    <w:rsid w:val="455C4456"/>
    <w:rsid w:val="45E76415"/>
    <w:rsid w:val="45FA0A26"/>
    <w:rsid w:val="46080139"/>
    <w:rsid w:val="460A7E24"/>
    <w:rsid w:val="46146ADE"/>
    <w:rsid w:val="463B28A6"/>
    <w:rsid w:val="46543846"/>
    <w:rsid w:val="46566C23"/>
    <w:rsid w:val="4695589D"/>
    <w:rsid w:val="469A3487"/>
    <w:rsid w:val="469C1E3C"/>
    <w:rsid w:val="46AD4554"/>
    <w:rsid w:val="46F030A7"/>
    <w:rsid w:val="46F06F25"/>
    <w:rsid w:val="473867FC"/>
    <w:rsid w:val="474C414D"/>
    <w:rsid w:val="47633879"/>
    <w:rsid w:val="476965B3"/>
    <w:rsid w:val="47783DFD"/>
    <w:rsid w:val="478F4ECF"/>
    <w:rsid w:val="47FA7D2F"/>
    <w:rsid w:val="47FD3AF1"/>
    <w:rsid w:val="480969C0"/>
    <w:rsid w:val="48130AF0"/>
    <w:rsid w:val="481334F1"/>
    <w:rsid w:val="48402AC1"/>
    <w:rsid w:val="48494B9C"/>
    <w:rsid w:val="485F7DAC"/>
    <w:rsid w:val="48A979B2"/>
    <w:rsid w:val="492D05E3"/>
    <w:rsid w:val="4941408E"/>
    <w:rsid w:val="494F5E92"/>
    <w:rsid w:val="495F5B72"/>
    <w:rsid w:val="49830203"/>
    <w:rsid w:val="49C83E68"/>
    <w:rsid w:val="49D4734F"/>
    <w:rsid w:val="49E77CDD"/>
    <w:rsid w:val="49F033BE"/>
    <w:rsid w:val="4A007071"/>
    <w:rsid w:val="4A075BC8"/>
    <w:rsid w:val="4A525E27"/>
    <w:rsid w:val="4A954C9B"/>
    <w:rsid w:val="4A98209F"/>
    <w:rsid w:val="4AF34F14"/>
    <w:rsid w:val="4AFF1B0B"/>
    <w:rsid w:val="4B1A63E3"/>
    <w:rsid w:val="4B4E2A92"/>
    <w:rsid w:val="4B5169B0"/>
    <w:rsid w:val="4B5A1437"/>
    <w:rsid w:val="4B8F78F3"/>
    <w:rsid w:val="4C2B0664"/>
    <w:rsid w:val="4C2F22BE"/>
    <w:rsid w:val="4C730C9E"/>
    <w:rsid w:val="4C7E2F03"/>
    <w:rsid w:val="4CA9222E"/>
    <w:rsid w:val="4CB93F3C"/>
    <w:rsid w:val="4CD34BDC"/>
    <w:rsid w:val="4D04165B"/>
    <w:rsid w:val="4D16341F"/>
    <w:rsid w:val="4D333CEE"/>
    <w:rsid w:val="4D414F9D"/>
    <w:rsid w:val="4D9A3D6D"/>
    <w:rsid w:val="4E0538DC"/>
    <w:rsid w:val="4E1D2927"/>
    <w:rsid w:val="4E384C36"/>
    <w:rsid w:val="4EAD3F2D"/>
    <w:rsid w:val="4ED06F09"/>
    <w:rsid w:val="4F443F90"/>
    <w:rsid w:val="4F6E7186"/>
    <w:rsid w:val="4F8D13C0"/>
    <w:rsid w:val="4FB8497E"/>
    <w:rsid w:val="4FBB543D"/>
    <w:rsid w:val="4FD80B7D"/>
    <w:rsid w:val="4FDD4733"/>
    <w:rsid w:val="50334002"/>
    <w:rsid w:val="503F6741"/>
    <w:rsid w:val="50454464"/>
    <w:rsid w:val="5049110A"/>
    <w:rsid w:val="5053699D"/>
    <w:rsid w:val="50834F8C"/>
    <w:rsid w:val="50962F12"/>
    <w:rsid w:val="50B43398"/>
    <w:rsid w:val="51121E6C"/>
    <w:rsid w:val="512953B4"/>
    <w:rsid w:val="512F2F6C"/>
    <w:rsid w:val="51644DBE"/>
    <w:rsid w:val="519059F2"/>
    <w:rsid w:val="51AA02F7"/>
    <w:rsid w:val="51AB6549"/>
    <w:rsid w:val="51BD38CA"/>
    <w:rsid w:val="51F31C9E"/>
    <w:rsid w:val="522105B9"/>
    <w:rsid w:val="522B6ECD"/>
    <w:rsid w:val="52397FF8"/>
    <w:rsid w:val="5248054A"/>
    <w:rsid w:val="52DF51FC"/>
    <w:rsid w:val="52E37C07"/>
    <w:rsid w:val="530E2837"/>
    <w:rsid w:val="53271CB9"/>
    <w:rsid w:val="539D45B7"/>
    <w:rsid w:val="53A62318"/>
    <w:rsid w:val="53AF1922"/>
    <w:rsid w:val="53D004E8"/>
    <w:rsid w:val="541A5BE0"/>
    <w:rsid w:val="544333DA"/>
    <w:rsid w:val="54707886"/>
    <w:rsid w:val="54890E82"/>
    <w:rsid w:val="548968E9"/>
    <w:rsid w:val="54AE43BA"/>
    <w:rsid w:val="54C83F4E"/>
    <w:rsid w:val="54CC5154"/>
    <w:rsid w:val="54CD2B39"/>
    <w:rsid w:val="54DC26B5"/>
    <w:rsid w:val="54E3249D"/>
    <w:rsid w:val="54F16968"/>
    <w:rsid w:val="54F31E22"/>
    <w:rsid w:val="55020B76"/>
    <w:rsid w:val="553426D6"/>
    <w:rsid w:val="55473F91"/>
    <w:rsid w:val="555D590D"/>
    <w:rsid w:val="557F4285"/>
    <w:rsid w:val="5583158B"/>
    <w:rsid w:val="559A7000"/>
    <w:rsid w:val="55BF0815"/>
    <w:rsid w:val="55F56829"/>
    <w:rsid w:val="563B3C13"/>
    <w:rsid w:val="564231F4"/>
    <w:rsid w:val="56770C34"/>
    <w:rsid w:val="56BA5A33"/>
    <w:rsid w:val="56CF0B06"/>
    <w:rsid w:val="56F02C50"/>
    <w:rsid w:val="572B1EDA"/>
    <w:rsid w:val="574B020A"/>
    <w:rsid w:val="57651062"/>
    <w:rsid w:val="57664CC0"/>
    <w:rsid w:val="57955F34"/>
    <w:rsid w:val="57A25889"/>
    <w:rsid w:val="57BA25A7"/>
    <w:rsid w:val="57DE6F4C"/>
    <w:rsid w:val="58407D19"/>
    <w:rsid w:val="58443836"/>
    <w:rsid w:val="588A581C"/>
    <w:rsid w:val="589D0BB5"/>
    <w:rsid w:val="58BF6D7E"/>
    <w:rsid w:val="58C6010C"/>
    <w:rsid w:val="58D228D1"/>
    <w:rsid w:val="58D65D72"/>
    <w:rsid w:val="58F20F01"/>
    <w:rsid w:val="58FD3312"/>
    <w:rsid w:val="59664F87"/>
    <w:rsid w:val="59D6612D"/>
    <w:rsid w:val="59D9448C"/>
    <w:rsid w:val="5A4867BF"/>
    <w:rsid w:val="5A540CEB"/>
    <w:rsid w:val="5A581238"/>
    <w:rsid w:val="5A8C78D5"/>
    <w:rsid w:val="5A9B4C38"/>
    <w:rsid w:val="5AB12C6F"/>
    <w:rsid w:val="5AF0502C"/>
    <w:rsid w:val="5B253527"/>
    <w:rsid w:val="5B4210D1"/>
    <w:rsid w:val="5B58611B"/>
    <w:rsid w:val="5BF22FC6"/>
    <w:rsid w:val="5C180C7F"/>
    <w:rsid w:val="5C2749B1"/>
    <w:rsid w:val="5C403D31"/>
    <w:rsid w:val="5C462FD0"/>
    <w:rsid w:val="5C4725F5"/>
    <w:rsid w:val="5C846314"/>
    <w:rsid w:val="5CAD5B19"/>
    <w:rsid w:val="5CF85D47"/>
    <w:rsid w:val="5CFF3BED"/>
    <w:rsid w:val="5D311666"/>
    <w:rsid w:val="5D445AA3"/>
    <w:rsid w:val="5D77447F"/>
    <w:rsid w:val="5DA56542"/>
    <w:rsid w:val="5DD45079"/>
    <w:rsid w:val="5DE9038E"/>
    <w:rsid w:val="5E1611EE"/>
    <w:rsid w:val="5E563CE0"/>
    <w:rsid w:val="5E8425FB"/>
    <w:rsid w:val="5E93283E"/>
    <w:rsid w:val="5F8C5FC2"/>
    <w:rsid w:val="5FB40567"/>
    <w:rsid w:val="5FBB3DE0"/>
    <w:rsid w:val="603B318E"/>
    <w:rsid w:val="60583D40"/>
    <w:rsid w:val="606326E4"/>
    <w:rsid w:val="606B4403"/>
    <w:rsid w:val="60B30F76"/>
    <w:rsid w:val="60C71760"/>
    <w:rsid w:val="60EB443B"/>
    <w:rsid w:val="610E1F50"/>
    <w:rsid w:val="613876CD"/>
    <w:rsid w:val="6155202D"/>
    <w:rsid w:val="615C33BC"/>
    <w:rsid w:val="61695AD8"/>
    <w:rsid w:val="617F2EE1"/>
    <w:rsid w:val="618172C6"/>
    <w:rsid w:val="619B1345"/>
    <w:rsid w:val="61A37DB4"/>
    <w:rsid w:val="61ED495B"/>
    <w:rsid w:val="61EE5FDE"/>
    <w:rsid w:val="621912AD"/>
    <w:rsid w:val="6220263B"/>
    <w:rsid w:val="62503DEB"/>
    <w:rsid w:val="6275153F"/>
    <w:rsid w:val="62B66AFB"/>
    <w:rsid w:val="62B81AF9"/>
    <w:rsid w:val="62B84B20"/>
    <w:rsid w:val="631303F2"/>
    <w:rsid w:val="63145607"/>
    <w:rsid w:val="633F05F2"/>
    <w:rsid w:val="63534C92"/>
    <w:rsid w:val="637A2CEB"/>
    <w:rsid w:val="639F57E1"/>
    <w:rsid w:val="63BA42F6"/>
    <w:rsid w:val="63E811FF"/>
    <w:rsid w:val="641D4053"/>
    <w:rsid w:val="642E6B65"/>
    <w:rsid w:val="64446389"/>
    <w:rsid w:val="64962ED4"/>
    <w:rsid w:val="64B33C3A"/>
    <w:rsid w:val="64CD45D0"/>
    <w:rsid w:val="64E5051A"/>
    <w:rsid w:val="64F8789F"/>
    <w:rsid w:val="651B358E"/>
    <w:rsid w:val="65624D19"/>
    <w:rsid w:val="65772630"/>
    <w:rsid w:val="65CB6D62"/>
    <w:rsid w:val="661A71F1"/>
    <w:rsid w:val="66350A5A"/>
    <w:rsid w:val="664B7EA3"/>
    <w:rsid w:val="664E5A00"/>
    <w:rsid w:val="67024A05"/>
    <w:rsid w:val="67092191"/>
    <w:rsid w:val="67630A18"/>
    <w:rsid w:val="67852F40"/>
    <w:rsid w:val="679C6C08"/>
    <w:rsid w:val="679D472E"/>
    <w:rsid w:val="67AC41BC"/>
    <w:rsid w:val="67B0620F"/>
    <w:rsid w:val="67C972D1"/>
    <w:rsid w:val="680620C6"/>
    <w:rsid w:val="68703BF0"/>
    <w:rsid w:val="68810ED1"/>
    <w:rsid w:val="68877E75"/>
    <w:rsid w:val="68921DB9"/>
    <w:rsid w:val="68E12AF7"/>
    <w:rsid w:val="68ED6FEF"/>
    <w:rsid w:val="68EF2D67"/>
    <w:rsid w:val="68FB170C"/>
    <w:rsid w:val="69200ED4"/>
    <w:rsid w:val="69392234"/>
    <w:rsid w:val="6939494A"/>
    <w:rsid w:val="69455430"/>
    <w:rsid w:val="6953779A"/>
    <w:rsid w:val="697063C2"/>
    <w:rsid w:val="697B45FB"/>
    <w:rsid w:val="69F640FE"/>
    <w:rsid w:val="6A386990"/>
    <w:rsid w:val="6A981EF3"/>
    <w:rsid w:val="6A986BB7"/>
    <w:rsid w:val="6AEA5EDC"/>
    <w:rsid w:val="6AEF704E"/>
    <w:rsid w:val="6B3727A3"/>
    <w:rsid w:val="6B453112"/>
    <w:rsid w:val="6B5B2936"/>
    <w:rsid w:val="6BB77A29"/>
    <w:rsid w:val="6C0027DF"/>
    <w:rsid w:val="6C0D113A"/>
    <w:rsid w:val="6C567D45"/>
    <w:rsid w:val="6C863C56"/>
    <w:rsid w:val="6C9360FF"/>
    <w:rsid w:val="6CAE1085"/>
    <w:rsid w:val="6CC72EBD"/>
    <w:rsid w:val="6CF45D15"/>
    <w:rsid w:val="6CFF105E"/>
    <w:rsid w:val="6D097386"/>
    <w:rsid w:val="6D0C07E2"/>
    <w:rsid w:val="6D4C0B82"/>
    <w:rsid w:val="6D562CB3"/>
    <w:rsid w:val="6D7224EA"/>
    <w:rsid w:val="6D8C45FD"/>
    <w:rsid w:val="6D8D1B1F"/>
    <w:rsid w:val="6E107BAA"/>
    <w:rsid w:val="6E3D4575"/>
    <w:rsid w:val="6E465D28"/>
    <w:rsid w:val="6E60522A"/>
    <w:rsid w:val="6E6055A7"/>
    <w:rsid w:val="6E7603C5"/>
    <w:rsid w:val="6E7A1325"/>
    <w:rsid w:val="6F26325B"/>
    <w:rsid w:val="6F34261A"/>
    <w:rsid w:val="6F72024E"/>
    <w:rsid w:val="6FB37203"/>
    <w:rsid w:val="6FDB4162"/>
    <w:rsid w:val="701F03D6"/>
    <w:rsid w:val="7097645A"/>
    <w:rsid w:val="70C26FB3"/>
    <w:rsid w:val="70F84783"/>
    <w:rsid w:val="71285068"/>
    <w:rsid w:val="712D267F"/>
    <w:rsid w:val="71551BD5"/>
    <w:rsid w:val="718D75C1"/>
    <w:rsid w:val="719E3EA4"/>
    <w:rsid w:val="71B307BA"/>
    <w:rsid w:val="71D83D48"/>
    <w:rsid w:val="72040C3D"/>
    <w:rsid w:val="7250612C"/>
    <w:rsid w:val="725D01F5"/>
    <w:rsid w:val="729C3F60"/>
    <w:rsid w:val="72C9287B"/>
    <w:rsid w:val="72DF4938"/>
    <w:rsid w:val="72E66F89"/>
    <w:rsid w:val="72F210D3"/>
    <w:rsid w:val="73487C44"/>
    <w:rsid w:val="7352461E"/>
    <w:rsid w:val="737E6952"/>
    <w:rsid w:val="73A36E4C"/>
    <w:rsid w:val="73AA228F"/>
    <w:rsid w:val="73AD0484"/>
    <w:rsid w:val="73C859D0"/>
    <w:rsid w:val="73FC27DC"/>
    <w:rsid w:val="74065409"/>
    <w:rsid w:val="74445A9E"/>
    <w:rsid w:val="746D0B76"/>
    <w:rsid w:val="74785BC0"/>
    <w:rsid w:val="74920373"/>
    <w:rsid w:val="74BF3F35"/>
    <w:rsid w:val="74CC21AE"/>
    <w:rsid w:val="750477ED"/>
    <w:rsid w:val="752B15CB"/>
    <w:rsid w:val="753D27F6"/>
    <w:rsid w:val="754E4859"/>
    <w:rsid w:val="754F70F3"/>
    <w:rsid w:val="7579607C"/>
    <w:rsid w:val="75867ED7"/>
    <w:rsid w:val="759E3B4B"/>
    <w:rsid w:val="75A0768A"/>
    <w:rsid w:val="75CE0FC7"/>
    <w:rsid w:val="75DC3A26"/>
    <w:rsid w:val="7645046A"/>
    <w:rsid w:val="7657019E"/>
    <w:rsid w:val="76681DEF"/>
    <w:rsid w:val="76896296"/>
    <w:rsid w:val="76D05CF1"/>
    <w:rsid w:val="76D23D36"/>
    <w:rsid w:val="76D637B8"/>
    <w:rsid w:val="77AD62C7"/>
    <w:rsid w:val="77B70EF4"/>
    <w:rsid w:val="77F2F602"/>
    <w:rsid w:val="77FE0A3B"/>
    <w:rsid w:val="781E432B"/>
    <w:rsid w:val="78440324"/>
    <w:rsid w:val="787B7DB4"/>
    <w:rsid w:val="787E6A60"/>
    <w:rsid w:val="7892052E"/>
    <w:rsid w:val="78E75809"/>
    <w:rsid w:val="78F97604"/>
    <w:rsid w:val="790F14B2"/>
    <w:rsid w:val="793D367B"/>
    <w:rsid w:val="7956298E"/>
    <w:rsid w:val="795E6AC0"/>
    <w:rsid w:val="79864E84"/>
    <w:rsid w:val="79AC650E"/>
    <w:rsid w:val="79EB30D7"/>
    <w:rsid w:val="79EE4916"/>
    <w:rsid w:val="7A4078C7"/>
    <w:rsid w:val="7A407A4F"/>
    <w:rsid w:val="7A4F5B01"/>
    <w:rsid w:val="7A631B0F"/>
    <w:rsid w:val="7A765096"/>
    <w:rsid w:val="7A8019C5"/>
    <w:rsid w:val="7A952643"/>
    <w:rsid w:val="7ADB1287"/>
    <w:rsid w:val="7B260AB7"/>
    <w:rsid w:val="7B4066AA"/>
    <w:rsid w:val="7BB51BEE"/>
    <w:rsid w:val="7BFD9BF1"/>
    <w:rsid w:val="7C2071C9"/>
    <w:rsid w:val="7C9B481A"/>
    <w:rsid w:val="7D0E0D3E"/>
    <w:rsid w:val="7D183200"/>
    <w:rsid w:val="7D7B6E68"/>
    <w:rsid w:val="7D8A031C"/>
    <w:rsid w:val="7D931E10"/>
    <w:rsid w:val="7DD24CD9"/>
    <w:rsid w:val="7DDA320F"/>
    <w:rsid w:val="7DF31F47"/>
    <w:rsid w:val="7E080CF1"/>
    <w:rsid w:val="7E221091"/>
    <w:rsid w:val="7E39024E"/>
    <w:rsid w:val="7E5751B7"/>
    <w:rsid w:val="7E745D91"/>
    <w:rsid w:val="7E8D0C00"/>
    <w:rsid w:val="7ED176A2"/>
    <w:rsid w:val="7EEE0C91"/>
    <w:rsid w:val="7EFFABC4"/>
    <w:rsid w:val="7F2548B5"/>
    <w:rsid w:val="7F2C4B8F"/>
    <w:rsid w:val="7F2D7CEE"/>
    <w:rsid w:val="7F3E5128"/>
    <w:rsid w:val="7F860051"/>
    <w:rsid w:val="7FF16F6D"/>
    <w:rsid w:val="7FFFADB8"/>
    <w:rsid w:val="DFFBD04A"/>
    <w:rsid w:val="FAECCD7D"/>
    <w:rsid w:val="FBEBD851"/>
    <w:rsid w:val="FED9F2BB"/>
    <w:rsid w:val="FF7FA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line="560" w:lineRule="exact"/>
      <w:ind w:firstLine="420" w:firstLineChars="200"/>
    </w:pPr>
    <w:rPr>
      <w:rFonts w:ascii="方正仿宋_GBK" w:hAnsi="方正仿宋_GBK" w:eastAsia="方正仿宋_GBK"/>
      <w:sz w:val="32"/>
    </w:rPr>
  </w:style>
  <w:style w:type="paragraph" w:styleId="4">
    <w:name w:val="Balloon Text"/>
    <w:basedOn w:val="1"/>
    <w:link w:val="42"/>
    <w:qFormat/>
    <w:uiPriority w:val="0"/>
    <w:pPr>
      <w:spacing w:line="240" w:lineRule="auto"/>
    </w:pPr>
    <w:rPr>
      <w:sz w:val="18"/>
      <w:szCs w:val="18"/>
    </w:rPr>
  </w:style>
  <w:style w:type="paragraph" w:styleId="5">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6">
    <w:name w:val="header"/>
    <w:basedOn w:val="1"/>
    <w:qFormat/>
    <w:uiPriority w:val="99"/>
    <w:pPr>
      <w:tabs>
        <w:tab w:val="center" w:pos="4153"/>
        <w:tab w:val="right" w:pos="8306"/>
      </w:tabs>
      <w:adjustRightInd/>
      <w:snapToGrid w:val="0"/>
      <w:jc w:val="center"/>
    </w:pPr>
    <w:rPr>
      <w:sz w:val="18"/>
      <w:szCs w:val="18"/>
    </w:rPr>
  </w:style>
  <w:style w:type="paragraph" w:styleId="7">
    <w:name w:val="toc 1"/>
    <w:basedOn w:val="1"/>
    <w:next w:val="1"/>
    <w:unhideWhenUsed/>
    <w:qFormat/>
    <w:uiPriority w:val="39"/>
    <w:pPr>
      <w:spacing w:line="300" w:lineRule="auto"/>
    </w:pPr>
    <w:rPr>
      <w:rFonts w:ascii="Times New Roman" w:hAnsi="Times New Roman"/>
    </w:rPr>
  </w:style>
  <w:style w:type="paragraph" w:styleId="8">
    <w:name w:val="toc 2"/>
    <w:basedOn w:val="1"/>
    <w:next w:val="1"/>
    <w:unhideWhenUsed/>
    <w:qFormat/>
    <w:uiPriority w:val="39"/>
    <w:pPr>
      <w:tabs>
        <w:tab w:val="right" w:leader="dot" w:pos="9344"/>
      </w:tabs>
      <w:spacing w:line="300" w:lineRule="auto"/>
      <w:ind w:left="210"/>
    </w:pPr>
    <w:rPr>
      <w:rFonts w:ascii="宋体" w:hAnsi="宋体"/>
    </w:rPr>
  </w:style>
  <w:style w:type="paragraph" w:styleId="9">
    <w:name w:val="Normal (Web)"/>
    <w:basedOn w:val="1"/>
    <w:qFormat/>
    <w:uiPriority w:val="0"/>
    <w:rPr>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Hyperlink"/>
    <w:basedOn w:val="12"/>
    <w:qFormat/>
    <w:uiPriority w:val="0"/>
    <w:rPr>
      <w:color w:val="0000FF"/>
      <w:u w:val="single"/>
    </w:rPr>
  </w:style>
  <w:style w:type="character" w:styleId="15">
    <w:name w:val="annotation reference"/>
    <w:basedOn w:val="12"/>
    <w:semiHidden/>
    <w:unhideWhenUsed/>
    <w:qFormat/>
    <w:uiPriority w:val="99"/>
    <w:rPr>
      <w:sz w:val="21"/>
      <w:szCs w:val="21"/>
    </w:rPr>
  </w:style>
  <w:style w:type="paragraph" w:customStyle="1" w:styleId="16">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7">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
    <w:name w:val="标准文件_文件编号"/>
    <w:basedOn w:val="19"/>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替换文件编号"/>
    <w:basedOn w:val="18"/>
    <w:autoRedefine/>
    <w:qFormat/>
    <w:uiPriority w:val="0"/>
    <w:pPr>
      <w:framePr w:wrap="around"/>
      <w:spacing w:before="57"/>
    </w:pPr>
    <w:rPr>
      <w:sz w:val="21"/>
    </w:rPr>
  </w:style>
  <w:style w:type="paragraph" w:customStyle="1" w:styleId="21">
    <w:name w:val="标准文件_文件名称"/>
    <w:basedOn w:val="19"/>
    <w:next w:val="19"/>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3">
    <w:name w:val="其他发布日期"/>
    <w:basedOn w:val="24"/>
    <w:autoRedefine/>
    <w:qFormat/>
    <w:uiPriority w:val="0"/>
    <w:pPr>
      <w:framePr w:w="3997" w:h="471" w:hRule="exact" w:hSpace="0" w:vSpace="181" w:wrap="around" w:vAnchor="page" w:hAnchor="page" w:x="1419" w:y="14097"/>
    </w:pPr>
  </w:style>
  <w:style w:type="paragraph" w:customStyle="1" w:styleId="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5">
    <w:name w:val="其他实施日期"/>
    <w:basedOn w:val="26"/>
    <w:autoRedefine/>
    <w:qFormat/>
    <w:uiPriority w:val="0"/>
    <w:pPr>
      <w:framePr w:w="3997" w:h="471" w:hRule="exact" w:vSpace="181" w:wrap="around" w:vAnchor="page" w:hAnchor="page" w:x="7089" w:y="14097"/>
    </w:pPr>
  </w:style>
  <w:style w:type="paragraph" w:customStyle="1" w:styleId="26">
    <w:name w:val="实施日期"/>
    <w:basedOn w:val="24"/>
    <w:autoRedefine/>
    <w:qFormat/>
    <w:uiPriority w:val="0"/>
    <w:pPr>
      <w:framePr w:hSpace="0" w:wrap="around" w:xAlign="right"/>
      <w:jc w:val="right"/>
    </w:pPr>
  </w:style>
  <w:style w:type="paragraph" w:customStyle="1" w:styleId="27">
    <w:name w:val="其他发布部门"/>
    <w:basedOn w:val="28"/>
    <w:autoRedefine/>
    <w:qFormat/>
    <w:uiPriority w:val="0"/>
    <w:pPr>
      <w:framePr w:wrap="around"/>
      <w:spacing w:line="0" w:lineRule="atLeast"/>
    </w:pPr>
    <w:rPr>
      <w:rFonts w:ascii="黑体" w:eastAsia="黑体"/>
      <w:b w:val="0"/>
    </w:rPr>
  </w:style>
  <w:style w:type="paragraph" w:customStyle="1" w:styleId="28">
    <w:name w:val="发布部门"/>
    <w:next w:val="1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9">
    <w:name w:val="发布"/>
    <w:basedOn w:val="12"/>
    <w:autoRedefine/>
    <w:qFormat/>
    <w:uiPriority w:val="0"/>
    <w:rPr>
      <w:rFonts w:ascii="黑体" w:eastAsia="黑体"/>
      <w:spacing w:val="85"/>
      <w:w w:val="100"/>
      <w:position w:val="3"/>
      <w:sz w:val="28"/>
      <w:szCs w:val="28"/>
    </w:rPr>
  </w:style>
  <w:style w:type="paragraph" w:customStyle="1" w:styleId="30">
    <w:name w:val="标准文件_前言、引言标题"/>
    <w:next w:val="1"/>
    <w:autoRedefine/>
    <w:qFormat/>
    <w:uiPriority w:val="0"/>
    <w:pPr>
      <w:numPr>
        <w:ilvl w:val="0"/>
        <w:numId w:val="1"/>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31">
    <w:name w:val="标准文件_一级项"/>
    <w:autoRedefine/>
    <w:qFormat/>
    <w:uiPriority w:val="0"/>
    <w:pPr>
      <w:numPr>
        <w:ilvl w:val="0"/>
        <w:numId w:val="2"/>
      </w:numPr>
      <w:tabs>
        <w:tab w:val="left" w:pos="851"/>
        <w:tab w:val="clear" w:pos="2978"/>
      </w:tabs>
      <w:ind w:left="851"/>
    </w:pPr>
    <w:rPr>
      <w:rFonts w:ascii="宋体" w:hAnsi="Times New Roman" w:eastAsia="宋体" w:cs="Times New Roman"/>
      <w:sz w:val="21"/>
      <w:lang w:val="en-US" w:eastAsia="zh-CN" w:bidi="ar-SA"/>
    </w:rPr>
  </w:style>
  <w:style w:type="paragraph" w:customStyle="1" w:styleId="32">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33">
    <w:name w:val="标准文件_章标题"/>
    <w:next w:val="19"/>
    <w:autoRedefine/>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4">
    <w:name w:val="标准文件_术语条一"/>
    <w:basedOn w:val="35"/>
    <w:next w:val="19"/>
    <w:autoRedefine/>
    <w:qFormat/>
    <w:uiPriority w:val="0"/>
  </w:style>
  <w:style w:type="paragraph" w:customStyle="1" w:styleId="35">
    <w:name w:val="标准文件_一级无标题"/>
    <w:basedOn w:val="36"/>
    <w:autoRedefine/>
    <w:qFormat/>
    <w:uiPriority w:val="0"/>
    <w:pPr>
      <w:spacing w:before="0" w:beforeLines="0" w:after="0" w:afterLines="0"/>
      <w:outlineLvl w:val="9"/>
    </w:pPr>
    <w:rPr>
      <w:rFonts w:ascii="宋体" w:eastAsia="宋体"/>
    </w:rPr>
  </w:style>
  <w:style w:type="paragraph" w:customStyle="1" w:styleId="36">
    <w:name w:val="标准文件_一级条标题"/>
    <w:basedOn w:val="33"/>
    <w:next w:val="1"/>
    <w:autoRedefine/>
    <w:qFormat/>
    <w:uiPriority w:val="0"/>
    <w:pPr>
      <w:numPr>
        <w:ilvl w:val="2"/>
      </w:numPr>
      <w:spacing w:before="50" w:beforeLines="50" w:after="50" w:afterLines="50"/>
      <w:outlineLvl w:val="1"/>
    </w:pPr>
  </w:style>
  <w:style w:type="paragraph" w:customStyle="1" w:styleId="37">
    <w:name w:val="Body Text Indent 21"/>
    <w:autoRedefine/>
    <w:qFormat/>
    <w:uiPriority w:val="0"/>
    <w:pPr>
      <w:widowControl w:val="0"/>
      <w:spacing w:line="480" w:lineRule="auto"/>
      <w:ind w:left="420" w:leftChars="200"/>
      <w:jc w:val="both"/>
    </w:pPr>
    <w:rPr>
      <w:rFonts w:ascii="Times New Roman" w:hAnsi="Times New Roman" w:eastAsia="宋体" w:cs="Times New Roman"/>
      <w:kern w:val="2"/>
      <w:sz w:val="21"/>
      <w:lang w:val="en-US" w:eastAsia="zh-CN" w:bidi="ar-SA"/>
    </w:rPr>
  </w:style>
  <w:style w:type="paragraph" w:customStyle="1" w:styleId="38">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39">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40">
    <w:name w:val="章标题"/>
    <w:next w:val="41"/>
    <w:qFormat/>
    <w:uiPriority w:val="0"/>
    <w:pPr>
      <w:numPr>
        <w:ilvl w:val="1"/>
        <w:numId w:val="4"/>
      </w:numPr>
      <w:spacing w:beforeLines="50" w:afterLines="50"/>
      <w:jc w:val="both"/>
      <w:outlineLvl w:val="1"/>
    </w:pPr>
    <w:rPr>
      <w:rFonts w:ascii="黑体" w:hAnsi="Times New Roman" w:eastAsia="黑体" w:cs="Times New Roman"/>
      <w:sz w:val="21"/>
      <w:lang w:val="en-US" w:eastAsia="zh-CN" w:bidi="ar-SA"/>
    </w:rPr>
  </w:style>
  <w:style w:type="paragraph" w:customStyle="1" w:styleId="41">
    <w:name w:val="段"/>
    <w:qFormat/>
    <w:uiPriority w:val="0"/>
    <w:pPr>
      <w:autoSpaceDE w:val="0"/>
      <w:autoSpaceDN w:val="0"/>
      <w:ind w:firstLine="200"/>
      <w:jc w:val="both"/>
    </w:pPr>
    <w:rPr>
      <w:rFonts w:ascii="宋体" w:hAnsi="Times New Roman" w:eastAsia="宋体" w:cs="Times New Roman"/>
      <w:sz w:val="21"/>
      <w:szCs w:val="22"/>
      <w:lang w:val="en-US" w:eastAsia="zh-CN" w:bidi="ar-SA"/>
    </w:rPr>
  </w:style>
  <w:style w:type="character" w:customStyle="1" w:styleId="42">
    <w:name w:val="批注框文本 字符"/>
    <w:basedOn w:val="12"/>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e6ff72a-d2fa-477e-8575-5e90e36157bb}"/>
        <w:style w:val=""/>
        <w:category>
          <w:name w:val="常规"/>
          <w:gallery w:val="placeholder"/>
        </w:category>
        <w:types>
          <w:type w:val="bbPlcHdr"/>
        </w:types>
        <w:behaviors>
          <w:behavior w:val="content"/>
        </w:behaviors>
        <w:description w:val=""/>
        <w:guid w:val="{4E6FF72A-D2FA-477E-8575-5E90E36157BB}"/>
      </w:docPartPr>
      <w:docPartBody>
        <w:p w14:paraId="6C19AF43">
          <w:pPr>
            <w:pStyle w:val="4"/>
          </w:pPr>
          <w:r>
            <w:rPr>
              <w:rStyle w:val="5"/>
              <w:rFonts w:hint="eastAsia"/>
            </w:rPr>
            <w:t>单击或点击此处输入文字。</w:t>
          </w:r>
        </w:p>
      </w:docPartBody>
    </w:docPart>
    <w:docPart>
      <w:docPartPr>
        <w:name w:val="{e31af484-655b-426b-9600-915bba1b376e}"/>
        <w:style w:val=""/>
        <w:category>
          <w:name w:val="常规"/>
          <w:gallery w:val="placeholder"/>
        </w:category>
        <w:types>
          <w:type w:val="bbPlcHdr"/>
        </w:types>
        <w:behaviors>
          <w:behavior w:val="content"/>
        </w:behaviors>
        <w:description w:val=""/>
        <w:guid w:val="{E31AF484-655B-426B-9600-915BBA1B376E}"/>
      </w:docPartPr>
      <w:docPartBody>
        <w:p w14:paraId="4895D036">
          <w:pPr>
            <w:pStyle w:val="6"/>
          </w:pPr>
          <w:r>
            <w:rPr>
              <w:rStyle w:val="5"/>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1A6C15"/>
    <w:rsid w:val="001A6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825D777011904640BCD0E71BC4A0300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autoRedefine/>
    <w:semiHidden/>
    <w:qFormat/>
    <w:uiPriority w:val="99"/>
    <w:rPr>
      <w:color w:val="808080"/>
    </w:rPr>
  </w:style>
  <w:style w:type="paragraph" w:customStyle="1" w:styleId="6">
    <w:name w:val="3DBB3F1E55D34E3BA6456BF892A9107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5be5d0f4-3962-403b-adaa-b6c26e4fa74b</errorID>
      <errorWord>；</errorWord>
      <group>L1_Format</group>
      <groupName>格式问题</groupName>
      <ability>L2_HalfPunc</ability>
      <abilityName>全半角检查</abilityName>
      <candidateList>
        <item>;</item>
      </candidateList>
      <explain>文本全半角错误。</explain>
      <paraID>4C497DDB</paraID>
      <start>6</start>
      <end>7</end>
      <status>modified</status>
      <modifiedWord>;</modifiedWord>
      <trackRevisions>false</trackRevisions>
    </reviewItem>
    <reviewItem>
      <errorID>90d7ce05-003c-4c6b-876a-497eb9a1d1cf</errorID>
      <errorWord>；</errorWord>
      <group>L1_Format</group>
      <groupName>格式问题</groupName>
      <ability>L2_HalfPunc</ability>
      <abilityName>全半角检查</abilityName>
      <candidateList>
        <item>; </item>
      </candidateList>
      <explain>文本全半角错误。</explain>
      <paraID>62232576</paraID>
      <start>4</start>
      <end>6</end>
      <status>modified</status>
      <modifiedWord>; </modifiedWord>
      <trackRevisions>false</trackRevisions>
    </reviewItem>
    <reviewItem>
      <errorID>87a40b4c-03db-49ff-aa4c-a7fd7d8205fe</errorID>
      <errorWord>应急管理等外部</errorWord>
      <group>L1_Knowledge</group>
      <groupName>知识性问题</groupName>
      <ability>L2_Organization</ability>
      <abilityName>机构检查</abilityName>
      <candidateList>
        <item>应急管理部</item>
      </candidateList>
      <explain>机关单位全简称表述错误</explain>
      <paraID>461C25C0</paraID>
      <start>8</start>
      <end>15</end>
      <status>unmodified</status>
      <modifiedWord/>
      <trackRevisions>false</trackRevisions>
    </reviewItem>
    <reviewItem>
      <errorID>3ec7394e-ce70-4cc0-bfde-9381c69337ed</errorID>
      <errorWord>晰</errorWord>
      <group>L1_Word</group>
      <groupName>字词问题</groupName>
      <ability>L2_Typo</ability>
      <abilityName>字词错误</abilityName>
      <candidateList>
        <item>晰地</item>
      </candidateList>
      <explain/>
      <paraID>5CC9B547</paraID>
      <start>23</start>
      <end>24</end>
      <status>unmodified</status>
      <modifiedWord/>
      <trackRevisions>false</trackRevisions>
    </reviewItem>
    <reviewItem>
      <errorID>61405f3a-7ca2-472a-8e79-c10e08cf1df2</errorID>
      <errorWord>企业事业单位内部治安保卫条例</errorWord>
      <group>L1_Knowledge</group>
      <groupName>知识性问题</groupName>
      <ability>L2_Knowledge</ability>
      <abilityName>其他知识</abilityName>
      <candidateList>
        <item>《企业事业单位内部治安保卫条例》</item>
      </candidateList>
      <explain>完整法律法规名称需要加书名号，请注意检查。</explain>
      <paraID>6B116BEF</paraID>
      <start>0</start>
      <end>14</end>
      <status>unmodified</status>
      <modifiedWord/>
      <trackRevisions>false</trackRevisions>
    </reviewItem>
    <reviewItem>
      <errorID>b8cd021f-4b68-4cc0-ace8-e3af5cea1928</errorID>
      <errorWord>文化部</errorWord>
      <group>L1_Knowledge</group>
      <groupName>知识性问题</groupName>
      <ability>L2_Knowledge</ability>
      <abilityName>其他知识</abilityName>
      <candidateList>
        <item>文化和旅游部</item>
      </candidateList>
      <explain/>
      <paraID>19695631</paraID>
      <start>12</start>
      <end>15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95a563-a5eb-4fce-af90-3ecb52f0ce4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9285</Words>
  <Characters>9884</Characters>
  <Lines>97</Lines>
  <Paragraphs>27</Paragraphs>
  <TotalTime>265</TotalTime>
  <ScaleCrop>false</ScaleCrop>
  <LinksUpToDate>false</LinksUpToDate>
  <CharactersWithSpaces>10129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2025-12-16T07:54:00Z</dcterms:created>
  <dc:creator>李季梅</dc:creator>
  <cp:lastModifiedBy>小颖</cp:lastModifiedBy>
  <dcterms:modified xsi:type="dcterms:W3CDTF">2026-04-23T06:43:12Z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D0B9A6993220414C96406A62E41DC2DB_13</vt:lpwstr>
  </property>
  <property fmtid="{D5CDD505-2E9C-101B-9397-08002B2CF9AE}" pid="4" name="KSOTemplateDocerSaveRecord">
    <vt:lpwstr>eyJoZGlkIjoiNzUwZDFkMDUyMDVhN2MwODA0MmZiZTJiYTMyZTM5MjkiLCJ1c2VySWQiOiI0MjY1OTk0MTUifQ==</vt:lpwstr>
  </property>
</Properties>
</file>