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BDF1C">
      <w:pPr>
        <w:rPr>
          <w:rFonts w:ascii="Times New Roman" w:hAnsi="Times New Roman" w:eastAsia="仿宋"/>
          <w:sz w:val="30"/>
          <w:szCs w:val="30"/>
        </w:rPr>
      </w:pPr>
      <w:bookmarkStart w:id="52" w:name="_GoBack"/>
      <w:bookmarkEnd w:id="52"/>
    </w:p>
    <w:p w14:paraId="0DDB2618">
      <w:pPr>
        <w:rPr>
          <w:rFonts w:ascii="Times New Roman" w:hAnsi="Times New Roman" w:eastAsia="仿宋"/>
          <w:sz w:val="30"/>
          <w:szCs w:val="30"/>
        </w:rPr>
      </w:pPr>
    </w:p>
    <w:p w14:paraId="2B510FEE">
      <w:pPr>
        <w:rPr>
          <w:rFonts w:ascii="Times New Roman" w:hAnsi="Times New Roman" w:eastAsia="仿宋"/>
          <w:sz w:val="44"/>
          <w:szCs w:val="44"/>
        </w:rPr>
      </w:pPr>
    </w:p>
    <w:p w14:paraId="5FDCF38D">
      <w:pPr>
        <w:jc w:val="center"/>
        <w:rPr>
          <w:rFonts w:ascii="Times New Roman" w:hAnsi="Times New Roman" w:eastAsia="微软雅黑"/>
          <w:sz w:val="44"/>
          <w:szCs w:val="44"/>
        </w:rPr>
      </w:pPr>
      <w:bookmarkStart w:id="0" w:name="_Toc2085077807_WPSOffice_Level2"/>
      <w:r>
        <w:rPr>
          <w:rFonts w:hint="eastAsia" w:ascii="Times New Roman" w:hAnsi="Times New Roman" w:eastAsia="微软雅黑"/>
          <w:sz w:val="44"/>
          <w:szCs w:val="44"/>
          <w:lang w:eastAsia="zh-CN"/>
        </w:rPr>
        <w:t>编制说明</w:t>
      </w:r>
      <w:bookmarkEnd w:id="0"/>
    </w:p>
    <w:p w14:paraId="3A785D1D">
      <w:pPr>
        <w:jc w:val="center"/>
        <w:rPr>
          <w:rFonts w:ascii="Times New Roman" w:hAnsi="Times New Roman" w:eastAsia="仿宋"/>
          <w:b/>
          <w:bCs/>
          <w:sz w:val="28"/>
          <w:szCs w:val="28"/>
        </w:rPr>
      </w:pPr>
      <w:r>
        <w:rPr>
          <w:rFonts w:ascii="Times New Roman" w:hAnsi="Times New Roman" w:eastAsia="仿宋"/>
          <w:sz w:val="28"/>
          <w:szCs w:val="28"/>
        </w:rPr>
        <w:br w:type="textWrapping"/>
      </w:r>
      <w:bookmarkStart w:id="1" w:name="_Toc1264550503_WPSOffice_Level2"/>
      <w:r>
        <w:rPr>
          <w:rFonts w:ascii="Times New Roman" w:hAnsi="Times New Roman" w:eastAsia="仿宋"/>
          <w:b/>
          <w:bCs/>
          <w:sz w:val="28"/>
          <w:szCs w:val="28"/>
        </w:rPr>
        <w:t>（</w:t>
      </w:r>
      <w:r>
        <w:rPr>
          <w:rFonts w:hint="eastAsia" w:ascii="Times New Roman" w:hAnsi="Times New Roman" w:eastAsia="仿宋"/>
          <w:b/>
          <w:bCs/>
          <w:sz w:val="28"/>
          <w:szCs w:val="28"/>
          <w:lang w:val="en-US" w:eastAsia="zh-CN"/>
        </w:rPr>
        <w:t>征求意见稿</w:t>
      </w:r>
      <w:r>
        <w:rPr>
          <w:rFonts w:ascii="Times New Roman" w:hAnsi="Times New Roman" w:eastAsia="仿宋"/>
          <w:b/>
          <w:bCs/>
          <w:sz w:val="28"/>
          <w:szCs w:val="28"/>
        </w:rPr>
        <w:t>）</w:t>
      </w:r>
      <w:bookmarkEnd w:id="1"/>
    </w:p>
    <w:p w14:paraId="3698E2CC">
      <w:pPr>
        <w:jc w:val="center"/>
        <w:rPr>
          <w:rFonts w:ascii="Times New Roman" w:hAnsi="Times New Roman" w:eastAsia="仿宋_GB2312"/>
          <w:sz w:val="28"/>
          <w:szCs w:val="28"/>
        </w:rPr>
      </w:pPr>
    </w:p>
    <w:p w14:paraId="22418DF8">
      <w:pPr>
        <w:jc w:val="center"/>
        <w:rPr>
          <w:rFonts w:ascii="Times New Roman" w:hAnsi="Times New Roman" w:eastAsia="仿宋_GB2312"/>
          <w:sz w:val="28"/>
          <w:szCs w:val="28"/>
        </w:rPr>
      </w:pPr>
    </w:p>
    <w:p w14:paraId="5E49370A">
      <w:pPr>
        <w:rPr>
          <w:rFonts w:ascii="Times New Roman" w:hAnsi="Times New Roman" w:eastAsia="仿宋_GB2312"/>
          <w:sz w:val="28"/>
          <w:szCs w:val="28"/>
        </w:rPr>
      </w:pPr>
    </w:p>
    <w:p w14:paraId="334B61F6">
      <w:pPr>
        <w:jc w:val="center"/>
        <w:rPr>
          <w:rFonts w:ascii="Times New Roman" w:hAnsi="Times New Roman" w:eastAsia="仿宋_GB2312"/>
          <w:sz w:val="28"/>
          <w:szCs w:val="28"/>
        </w:rPr>
      </w:pPr>
    </w:p>
    <w:tbl>
      <w:tblPr>
        <w:tblStyle w:val="13"/>
        <w:tblW w:w="0" w:type="auto"/>
        <w:jc w:val="center"/>
        <w:tblLayout w:type="fixed"/>
        <w:tblCellMar>
          <w:top w:w="0" w:type="dxa"/>
          <w:left w:w="108" w:type="dxa"/>
          <w:bottom w:w="0" w:type="dxa"/>
          <w:right w:w="108" w:type="dxa"/>
        </w:tblCellMar>
      </w:tblPr>
      <w:tblGrid>
        <w:gridCol w:w="2268"/>
        <w:gridCol w:w="5723"/>
      </w:tblGrid>
      <w:tr w14:paraId="7F40523D">
        <w:tblPrEx>
          <w:tblCellMar>
            <w:top w:w="0" w:type="dxa"/>
            <w:left w:w="108" w:type="dxa"/>
            <w:bottom w:w="0" w:type="dxa"/>
            <w:right w:w="108" w:type="dxa"/>
          </w:tblCellMar>
        </w:tblPrEx>
        <w:trPr>
          <w:trHeight w:val="737" w:hRule="atLeast"/>
          <w:jc w:val="center"/>
        </w:trPr>
        <w:tc>
          <w:tcPr>
            <w:tcW w:w="2268" w:type="dxa"/>
            <w:noWrap w:val="0"/>
            <w:vAlign w:val="bottom"/>
          </w:tcPr>
          <w:p w14:paraId="60884EBF">
            <w:pPr>
              <w:spacing w:line="400" w:lineRule="exact"/>
              <w:jc w:val="distribute"/>
              <w:rPr>
                <w:rFonts w:ascii="Times New Roman" w:hAnsi="Times New Roman" w:cs="Times New Roman"/>
                <w:b/>
                <w:color w:val="000000"/>
                <w:sz w:val="30"/>
                <w:szCs w:val="30"/>
              </w:rPr>
            </w:pPr>
            <w:r>
              <w:rPr>
                <w:rFonts w:ascii="Times New Roman" w:hAnsi="Times New Roman" w:cs="Times New Roman"/>
                <w:b/>
                <w:color w:val="000000"/>
                <w:sz w:val="30"/>
                <w:szCs w:val="30"/>
              </w:rPr>
              <w:t>标准名称：</w:t>
            </w:r>
          </w:p>
        </w:tc>
        <w:tc>
          <w:tcPr>
            <w:tcW w:w="5723" w:type="dxa"/>
            <w:tcBorders>
              <w:bottom w:val="single" w:color="auto" w:sz="4" w:space="0"/>
            </w:tcBorders>
            <w:noWrap w:val="0"/>
            <w:vAlign w:val="bottom"/>
          </w:tcPr>
          <w:p w14:paraId="30BDC7E7">
            <w:pPr>
              <w:spacing w:line="400" w:lineRule="exact"/>
              <w:jc w:val="center"/>
              <w:rPr>
                <w:rFonts w:hint="default" w:ascii="Times New Roman" w:hAnsi="Times New Roman" w:eastAsia="仿宋" w:cs="Times New Roman"/>
                <w:bCs/>
                <w:color w:val="000000"/>
                <w:sz w:val="30"/>
                <w:szCs w:val="30"/>
                <w:lang w:val="en-US" w:eastAsia="zh-CN"/>
              </w:rPr>
            </w:pPr>
            <w:r>
              <w:rPr>
                <w:rFonts w:hint="eastAsia" w:ascii="Times New Roman" w:hAnsi="Times New Roman" w:eastAsia="仿宋" w:cs="Times New Roman"/>
                <w:bCs/>
                <w:color w:val="000000"/>
                <w:sz w:val="30"/>
                <w:szCs w:val="30"/>
                <w:lang w:val="en-US" w:eastAsia="zh-CN"/>
              </w:rPr>
              <w:t>博物馆安全保卫管理规范</w:t>
            </w:r>
          </w:p>
        </w:tc>
      </w:tr>
      <w:tr w14:paraId="7A71BAD1">
        <w:tblPrEx>
          <w:tblCellMar>
            <w:top w:w="0" w:type="dxa"/>
            <w:left w:w="108" w:type="dxa"/>
            <w:bottom w:w="0" w:type="dxa"/>
            <w:right w:w="108" w:type="dxa"/>
          </w:tblCellMar>
        </w:tblPrEx>
        <w:trPr>
          <w:trHeight w:val="737" w:hRule="atLeast"/>
          <w:jc w:val="center"/>
        </w:trPr>
        <w:tc>
          <w:tcPr>
            <w:tcW w:w="2268" w:type="dxa"/>
            <w:noWrap w:val="0"/>
            <w:vAlign w:val="bottom"/>
          </w:tcPr>
          <w:p w14:paraId="486EFEB9">
            <w:pPr>
              <w:spacing w:line="400" w:lineRule="exact"/>
              <w:jc w:val="distribute"/>
              <w:rPr>
                <w:rFonts w:ascii="Times New Roman" w:hAnsi="Times New Roman" w:cs="Times New Roman"/>
                <w:b/>
                <w:color w:val="000000"/>
                <w:sz w:val="30"/>
                <w:szCs w:val="30"/>
              </w:rPr>
            </w:pPr>
            <w:r>
              <w:rPr>
                <w:rFonts w:ascii="Times New Roman" w:hAnsi="Times New Roman" w:cs="Times New Roman"/>
                <w:b/>
                <w:color w:val="000000"/>
                <w:sz w:val="30"/>
                <w:szCs w:val="30"/>
              </w:rPr>
              <w:t>计 划 号：</w:t>
            </w:r>
          </w:p>
        </w:tc>
        <w:tc>
          <w:tcPr>
            <w:tcW w:w="5723" w:type="dxa"/>
            <w:tcBorders>
              <w:top w:val="single" w:color="auto" w:sz="4" w:space="0"/>
              <w:bottom w:val="single" w:color="auto" w:sz="4" w:space="0"/>
            </w:tcBorders>
            <w:noWrap w:val="0"/>
            <w:vAlign w:val="bottom"/>
          </w:tcPr>
          <w:p w14:paraId="4B4F93D3">
            <w:pPr>
              <w:spacing w:line="400" w:lineRule="exact"/>
              <w:jc w:val="center"/>
              <w:rPr>
                <w:rFonts w:ascii="Times New Roman" w:hAnsi="Times New Roman" w:eastAsia="仿宋" w:cs="Times New Roman"/>
                <w:bCs/>
                <w:color w:val="000000"/>
                <w:sz w:val="30"/>
                <w:szCs w:val="30"/>
              </w:rPr>
            </w:pPr>
            <w:r>
              <w:rPr>
                <w:rFonts w:hint="eastAsia" w:ascii="Times New Roman" w:hAnsi="Times New Roman" w:eastAsia="仿宋" w:cs="Times New Roman"/>
                <w:bCs/>
                <w:color w:val="000000"/>
                <w:sz w:val="30"/>
                <w:szCs w:val="30"/>
              </w:rPr>
              <w:t>WW2025-007-T</w:t>
            </w:r>
          </w:p>
        </w:tc>
      </w:tr>
      <w:tr w14:paraId="2BB0A056">
        <w:tblPrEx>
          <w:tblCellMar>
            <w:top w:w="0" w:type="dxa"/>
            <w:left w:w="108" w:type="dxa"/>
            <w:bottom w:w="0" w:type="dxa"/>
            <w:right w:w="108" w:type="dxa"/>
          </w:tblCellMar>
        </w:tblPrEx>
        <w:trPr>
          <w:trHeight w:val="737" w:hRule="atLeast"/>
          <w:jc w:val="center"/>
        </w:trPr>
        <w:tc>
          <w:tcPr>
            <w:tcW w:w="2268" w:type="dxa"/>
            <w:noWrap w:val="0"/>
            <w:vAlign w:val="bottom"/>
          </w:tcPr>
          <w:p w14:paraId="2E7131E0">
            <w:pPr>
              <w:spacing w:line="400" w:lineRule="exact"/>
              <w:jc w:val="distribute"/>
              <w:rPr>
                <w:rFonts w:ascii="Times New Roman" w:hAnsi="Times New Roman" w:cs="Times New Roman"/>
                <w:b/>
                <w:color w:val="000000"/>
                <w:sz w:val="30"/>
                <w:szCs w:val="30"/>
              </w:rPr>
            </w:pPr>
            <w:r>
              <w:rPr>
                <w:rFonts w:ascii="Times New Roman" w:hAnsi="Times New Roman" w:cs="Times New Roman"/>
                <w:b/>
                <w:color w:val="000000"/>
                <w:sz w:val="30"/>
                <w:szCs w:val="30"/>
              </w:rPr>
              <w:t>标准性质：</w:t>
            </w:r>
          </w:p>
        </w:tc>
        <w:tc>
          <w:tcPr>
            <w:tcW w:w="5723" w:type="dxa"/>
            <w:tcBorders>
              <w:top w:val="single" w:color="auto" w:sz="4" w:space="0"/>
              <w:bottom w:val="single" w:color="auto" w:sz="4" w:space="0"/>
            </w:tcBorders>
            <w:noWrap w:val="0"/>
            <w:vAlign w:val="bottom"/>
          </w:tcPr>
          <w:p w14:paraId="7155732B">
            <w:pPr>
              <w:spacing w:line="400" w:lineRule="exact"/>
              <w:jc w:val="center"/>
              <w:rPr>
                <w:rFonts w:ascii="Times New Roman" w:hAnsi="Times New Roman" w:eastAsia="仿宋" w:cs="Times New Roman"/>
                <w:bCs/>
                <w:color w:val="000000"/>
                <w:sz w:val="30"/>
                <w:szCs w:val="30"/>
              </w:rPr>
            </w:pPr>
          </w:p>
          <w:p w14:paraId="27CAFA76">
            <w:pPr>
              <w:spacing w:line="400" w:lineRule="exact"/>
              <w:ind w:firstLine="150" w:firstLineChars="50"/>
              <w:jc w:val="center"/>
              <w:rPr>
                <w:rFonts w:ascii="Times New Roman" w:hAnsi="Times New Roman" w:eastAsia="仿宋" w:cs="Times New Roman"/>
                <w:bCs/>
                <w:color w:val="000000"/>
                <w:sz w:val="30"/>
                <w:szCs w:val="30"/>
              </w:rPr>
            </w:pPr>
            <w:r>
              <w:rPr>
                <w:rFonts w:ascii="Times New Roman" w:hAnsi="Times New Roman" w:eastAsia="仿宋" w:cs="Times New Roman"/>
                <w:bCs/>
                <w:color w:val="000000"/>
                <w:sz w:val="30"/>
                <w:szCs w:val="30"/>
              </w:rPr>
              <w:sym w:font="Wingdings" w:char="00A8"/>
            </w:r>
            <w:r>
              <w:rPr>
                <w:rFonts w:ascii="Times New Roman" w:hAnsi="Times New Roman" w:eastAsia="仿宋" w:cs="Times New Roman"/>
                <w:bCs/>
                <w:color w:val="000000"/>
                <w:sz w:val="30"/>
                <w:szCs w:val="30"/>
              </w:rPr>
              <w:t xml:space="preserve">强制性国家标准  </w:t>
            </w:r>
            <w:r>
              <w:rPr>
                <w:rFonts w:ascii="Times New Roman" w:hAnsi="Times New Roman" w:eastAsia="仿宋" w:cs="Times New Roman"/>
                <w:bCs/>
                <w:color w:val="000000"/>
                <w:sz w:val="30"/>
                <w:szCs w:val="30"/>
              </w:rPr>
              <w:sym w:font="Wingdings" w:char="00A8"/>
            </w:r>
            <w:r>
              <w:rPr>
                <w:rFonts w:ascii="Times New Roman" w:hAnsi="Times New Roman" w:eastAsia="仿宋" w:cs="Times New Roman"/>
                <w:bCs/>
                <w:color w:val="000000"/>
                <w:sz w:val="30"/>
                <w:szCs w:val="30"/>
              </w:rPr>
              <w:t>推荐性国家标准</w:t>
            </w:r>
          </w:p>
          <w:p w14:paraId="201033E9">
            <w:pPr>
              <w:spacing w:line="400" w:lineRule="exact"/>
              <w:ind w:firstLine="150" w:firstLineChars="50"/>
              <w:jc w:val="center"/>
              <w:rPr>
                <w:rFonts w:ascii="Times New Roman" w:hAnsi="Times New Roman" w:eastAsia="仿宋" w:cs="Times New Roman"/>
                <w:bCs/>
                <w:color w:val="000000"/>
                <w:sz w:val="30"/>
                <w:szCs w:val="30"/>
                <w:lang w:eastAsia="zh-Hans"/>
              </w:rPr>
            </w:pPr>
            <w:r>
              <w:rPr>
                <w:rFonts w:ascii="Times New Roman" w:hAnsi="Times New Roman" w:eastAsia="仿宋" w:cs="Times New Roman"/>
                <w:bCs/>
                <w:color w:val="000000"/>
                <w:sz w:val="30"/>
                <w:szCs w:val="30"/>
              </w:rPr>
              <w:sym w:font="Wingdings" w:char="00FE"/>
            </w:r>
            <w:r>
              <w:rPr>
                <w:rFonts w:ascii="Times New Roman" w:hAnsi="Times New Roman" w:eastAsia="仿宋" w:cs="Times New Roman"/>
                <w:bCs/>
                <w:color w:val="000000"/>
                <w:sz w:val="30"/>
                <w:szCs w:val="30"/>
              </w:rPr>
              <w:t xml:space="preserve">推荐性行业标准  </w:t>
            </w:r>
            <w:r>
              <w:rPr>
                <w:rFonts w:ascii="Times New Roman" w:hAnsi="Times New Roman" w:eastAsia="仿宋" w:cs="Times New Roman"/>
                <w:bCs/>
                <w:color w:val="000000"/>
                <w:sz w:val="30"/>
                <w:szCs w:val="30"/>
              </w:rPr>
              <w:sym w:font="Wingdings" w:char="00A8"/>
            </w:r>
            <w:r>
              <w:rPr>
                <w:rFonts w:ascii="Times New Roman" w:hAnsi="Times New Roman" w:eastAsia="仿宋" w:cs="Times New Roman"/>
                <w:bCs/>
                <w:color w:val="000000"/>
                <w:sz w:val="30"/>
                <w:szCs w:val="30"/>
              </w:rPr>
              <w:t>指导性技术文件</w:t>
            </w:r>
          </w:p>
        </w:tc>
      </w:tr>
      <w:tr w14:paraId="4F07F87C">
        <w:tblPrEx>
          <w:tblCellMar>
            <w:top w:w="0" w:type="dxa"/>
            <w:left w:w="108" w:type="dxa"/>
            <w:bottom w:w="0" w:type="dxa"/>
            <w:right w:w="108" w:type="dxa"/>
          </w:tblCellMar>
        </w:tblPrEx>
        <w:trPr>
          <w:trHeight w:val="737" w:hRule="atLeast"/>
          <w:jc w:val="center"/>
        </w:trPr>
        <w:tc>
          <w:tcPr>
            <w:tcW w:w="2268" w:type="dxa"/>
            <w:noWrap w:val="0"/>
            <w:vAlign w:val="bottom"/>
          </w:tcPr>
          <w:p w14:paraId="59E29C94">
            <w:pPr>
              <w:spacing w:line="400" w:lineRule="exact"/>
              <w:jc w:val="distribute"/>
              <w:rPr>
                <w:rFonts w:ascii="Times New Roman" w:hAnsi="Times New Roman" w:cs="Times New Roman"/>
                <w:b/>
                <w:color w:val="000000"/>
                <w:sz w:val="30"/>
                <w:szCs w:val="30"/>
              </w:rPr>
            </w:pPr>
            <w:r>
              <w:rPr>
                <w:rFonts w:ascii="Times New Roman" w:hAnsi="Times New Roman" w:cs="Times New Roman"/>
                <w:b/>
                <w:color w:val="000000"/>
                <w:sz w:val="30"/>
                <w:szCs w:val="30"/>
              </w:rPr>
              <w:t>制 修 订：</w:t>
            </w:r>
          </w:p>
        </w:tc>
        <w:tc>
          <w:tcPr>
            <w:tcW w:w="5723" w:type="dxa"/>
            <w:tcBorders>
              <w:top w:val="single" w:color="auto" w:sz="4" w:space="0"/>
              <w:bottom w:val="single" w:color="auto" w:sz="4" w:space="0"/>
            </w:tcBorders>
            <w:noWrap w:val="0"/>
            <w:vAlign w:val="bottom"/>
          </w:tcPr>
          <w:p w14:paraId="38499210">
            <w:pPr>
              <w:tabs>
                <w:tab w:val="left" w:pos="463"/>
              </w:tabs>
              <w:spacing w:line="400" w:lineRule="exact"/>
              <w:ind w:firstLine="300" w:firstLineChars="100"/>
              <w:rPr>
                <w:rFonts w:ascii="Times New Roman" w:hAnsi="Times New Roman" w:eastAsia="仿宋" w:cs="Times New Roman"/>
                <w:bCs/>
                <w:color w:val="000000"/>
                <w:sz w:val="30"/>
                <w:szCs w:val="30"/>
              </w:rPr>
            </w:pPr>
            <w:r>
              <w:rPr>
                <w:rFonts w:ascii="Times New Roman" w:hAnsi="Times New Roman" w:eastAsia="仿宋" w:cs="Times New Roman"/>
                <w:bCs/>
                <w:color w:val="000000"/>
                <w:sz w:val="30"/>
                <w:szCs w:val="30"/>
              </w:rPr>
              <w:sym w:font="Wingdings" w:char="00FE"/>
            </w:r>
            <w:r>
              <w:rPr>
                <w:rFonts w:ascii="Times New Roman" w:hAnsi="Times New Roman" w:eastAsia="仿宋" w:cs="Times New Roman"/>
                <w:bCs/>
                <w:color w:val="000000"/>
                <w:sz w:val="30"/>
                <w:szCs w:val="30"/>
              </w:rPr>
              <w:t xml:space="preserve">制定            </w:t>
            </w:r>
            <w:r>
              <w:rPr>
                <w:rFonts w:ascii="Times New Roman" w:hAnsi="Times New Roman" w:eastAsia="仿宋" w:cs="Times New Roman"/>
                <w:bCs/>
                <w:color w:val="000000"/>
                <w:sz w:val="30"/>
                <w:szCs w:val="30"/>
              </w:rPr>
              <w:sym w:font="Wingdings" w:char="00A8"/>
            </w:r>
            <w:r>
              <w:rPr>
                <w:rFonts w:ascii="Times New Roman" w:hAnsi="Times New Roman" w:eastAsia="仿宋" w:cs="Times New Roman"/>
                <w:bCs/>
                <w:color w:val="000000"/>
                <w:sz w:val="30"/>
                <w:szCs w:val="30"/>
              </w:rPr>
              <w:t>修订</w:t>
            </w:r>
          </w:p>
        </w:tc>
      </w:tr>
      <w:tr w14:paraId="02DD5CA5">
        <w:tblPrEx>
          <w:tblCellMar>
            <w:top w:w="0" w:type="dxa"/>
            <w:left w:w="108" w:type="dxa"/>
            <w:bottom w:w="0" w:type="dxa"/>
            <w:right w:w="108" w:type="dxa"/>
          </w:tblCellMar>
        </w:tblPrEx>
        <w:trPr>
          <w:trHeight w:val="737" w:hRule="atLeast"/>
          <w:jc w:val="center"/>
        </w:trPr>
        <w:tc>
          <w:tcPr>
            <w:tcW w:w="2268" w:type="dxa"/>
            <w:noWrap w:val="0"/>
            <w:vAlign w:val="bottom"/>
          </w:tcPr>
          <w:p w14:paraId="45629F83">
            <w:pPr>
              <w:spacing w:line="400" w:lineRule="exact"/>
              <w:jc w:val="distribute"/>
              <w:rPr>
                <w:rFonts w:ascii="Times New Roman" w:hAnsi="Times New Roman" w:cs="Times New Roman"/>
                <w:b/>
                <w:color w:val="000000"/>
                <w:sz w:val="30"/>
                <w:szCs w:val="30"/>
              </w:rPr>
            </w:pPr>
            <w:r>
              <w:rPr>
                <w:rFonts w:ascii="Times New Roman" w:hAnsi="Times New Roman" w:cs="Times New Roman"/>
                <w:b/>
                <w:color w:val="000000"/>
                <w:sz w:val="30"/>
                <w:szCs w:val="30"/>
              </w:rPr>
              <w:t>负责起草单位：</w:t>
            </w:r>
          </w:p>
        </w:tc>
        <w:tc>
          <w:tcPr>
            <w:tcW w:w="5723" w:type="dxa"/>
            <w:tcBorders>
              <w:top w:val="single" w:color="auto" w:sz="4" w:space="0"/>
              <w:bottom w:val="single" w:color="auto" w:sz="4" w:space="0"/>
            </w:tcBorders>
            <w:noWrap w:val="0"/>
            <w:vAlign w:val="bottom"/>
          </w:tcPr>
          <w:p w14:paraId="04D05384">
            <w:pPr>
              <w:spacing w:line="400" w:lineRule="exact"/>
              <w:jc w:val="center"/>
              <w:rPr>
                <w:rFonts w:hint="eastAsia" w:ascii="Times New Roman" w:hAnsi="Times New Roman" w:eastAsia="仿宋" w:cs="Times New Roman"/>
                <w:bCs/>
                <w:color w:val="000000"/>
                <w:sz w:val="30"/>
                <w:szCs w:val="30"/>
                <w:u w:val="single"/>
                <w:lang w:val="en-US" w:eastAsia="zh-CN"/>
              </w:rPr>
            </w:pPr>
            <w:r>
              <w:rPr>
                <w:rFonts w:hint="eastAsia" w:ascii="Times New Roman" w:hAnsi="Times New Roman" w:eastAsia="仿宋" w:cs="Times New Roman"/>
                <w:bCs/>
                <w:color w:val="000000"/>
                <w:sz w:val="30"/>
                <w:szCs w:val="30"/>
                <w:u w:val="none"/>
                <w:lang w:val="en-US" w:eastAsia="zh-CN"/>
              </w:rPr>
              <w:t>故宫博物院</w:t>
            </w:r>
          </w:p>
        </w:tc>
      </w:tr>
      <w:tr w14:paraId="1ACB493B">
        <w:tblPrEx>
          <w:tblCellMar>
            <w:top w:w="0" w:type="dxa"/>
            <w:left w:w="108" w:type="dxa"/>
            <w:bottom w:w="0" w:type="dxa"/>
            <w:right w:w="108" w:type="dxa"/>
          </w:tblCellMar>
        </w:tblPrEx>
        <w:trPr>
          <w:trHeight w:val="737" w:hRule="atLeast"/>
          <w:jc w:val="center"/>
        </w:trPr>
        <w:tc>
          <w:tcPr>
            <w:tcW w:w="2268" w:type="dxa"/>
            <w:noWrap w:val="0"/>
            <w:vAlign w:val="bottom"/>
          </w:tcPr>
          <w:p w14:paraId="6351E7DB">
            <w:pPr>
              <w:spacing w:line="400" w:lineRule="exact"/>
              <w:jc w:val="distribute"/>
              <w:rPr>
                <w:rFonts w:ascii="Times New Roman" w:hAnsi="Times New Roman" w:cs="Times New Roman"/>
                <w:b/>
                <w:color w:val="000000"/>
                <w:sz w:val="30"/>
                <w:szCs w:val="30"/>
              </w:rPr>
            </w:pPr>
            <w:r>
              <w:rPr>
                <w:rFonts w:hint="eastAsia" w:ascii="Times New Roman" w:hAnsi="Times New Roman" w:cs="Times New Roman"/>
                <w:b/>
                <w:color w:val="000000"/>
                <w:sz w:val="30"/>
                <w:szCs w:val="30"/>
                <w:lang w:eastAsia="zh-CN"/>
              </w:rPr>
              <w:t>项目负责人</w:t>
            </w:r>
            <w:r>
              <w:rPr>
                <w:rFonts w:ascii="Times New Roman" w:hAnsi="Times New Roman" w:cs="Times New Roman"/>
                <w:b/>
                <w:color w:val="000000"/>
                <w:sz w:val="30"/>
                <w:szCs w:val="30"/>
              </w:rPr>
              <w:t>：</w:t>
            </w:r>
          </w:p>
        </w:tc>
        <w:tc>
          <w:tcPr>
            <w:tcW w:w="5723" w:type="dxa"/>
            <w:tcBorders>
              <w:top w:val="single" w:color="auto" w:sz="4" w:space="0"/>
              <w:bottom w:val="single" w:color="auto" w:sz="4" w:space="0"/>
            </w:tcBorders>
            <w:noWrap w:val="0"/>
            <w:vAlign w:val="bottom"/>
          </w:tcPr>
          <w:p w14:paraId="67C4DF22">
            <w:pPr>
              <w:spacing w:line="400" w:lineRule="exact"/>
              <w:jc w:val="center"/>
              <w:rPr>
                <w:rFonts w:hint="default" w:ascii="Times New Roman" w:hAnsi="Times New Roman" w:eastAsia="仿宋" w:cs="Times New Roman"/>
                <w:bCs/>
                <w:color w:val="000000"/>
                <w:sz w:val="30"/>
                <w:szCs w:val="30"/>
                <w:u w:val="single"/>
                <w:lang w:val="en-US" w:eastAsia="zh-CN"/>
              </w:rPr>
            </w:pPr>
            <w:r>
              <w:rPr>
                <w:rFonts w:hint="eastAsia" w:ascii="Times New Roman" w:hAnsi="Times New Roman" w:eastAsia="仿宋" w:cs="Times New Roman"/>
                <w:bCs/>
                <w:color w:val="000000"/>
                <w:sz w:val="30"/>
                <w:szCs w:val="30"/>
                <w:u w:val="none"/>
                <w:lang w:val="en-US" w:eastAsia="zh-CN"/>
              </w:rPr>
              <w:t>王波</w:t>
            </w:r>
          </w:p>
        </w:tc>
      </w:tr>
      <w:tr w14:paraId="6E3C6775">
        <w:tblPrEx>
          <w:tblCellMar>
            <w:top w:w="0" w:type="dxa"/>
            <w:left w:w="108" w:type="dxa"/>
            <w:bottom w:w="0" w:type="dxa"/>
            <w:right w:w="108" w:type="dxa"/>
          </w:tblCellMar>
        </w:tblPrEx>
        <w:trPr>
          <w:trHeight w:val="751" w:hRule="atLeast"/>
          <w:jc w:val="center"/>
        </w:trPr>
        <w:tc>
          <w:tcPr>
            <w:tcW w:w="2268" w:type="dxa"/>
            <w:noWrap w:val="0"/>
            <w:vAlign w:val="bottom"/>
          </w:tcPr>
          <w:p w14:paraId="2641677E">
            <w:pPr>
              <w:spacing w:line="400" w:lineRule="exact"/>
              <w:jc w:val="distribute"/>
              <w:rPr>
                <w:rFonts w:ascii="Times New Roman" w:hAnsi="Times New Roman" w:cs="Times New Roman"/>
                <w:b/>
                <w:color w:val="000000"/>
                <w:sz w:val="30"/>
                <w:szCs w:val="30"/>
              </w:rPr>
            </w:pPr>
            <w:r>
              <w:rPr>
                <w:rFonts w:ascii="Times New Roman" w:hAnsi="Times New Roman" w:cs="Times New Roman"/>
                <w:b/>
                <w:color w:val="000000"/>
                <w:sz w:val="30"/>
                <w:szCs w:val="30"/>
              </w:rPr>
              <w:t>编制日期：</w:t>
            </w:r>
          </w:p>
        </w:tc>
        <w:tc>
          <w:tcPr>
            <w:tcW w:w="5723" w:type="dxa"/>
            <w:tcBorders>
              <w:top w:val="single" w:color="auto" w:sz="4" w:space="0"/>
              <w:bottom w:val="single" w:color="auto" w:sz="4" w:space="0"/>
            </w:tcBorders>
            <w:noWrap w:val="0"/>
            <w:vAlign w:val="bottom"/>
          </w:tcPr>
          <w:p w14:paraId="08D7EE5B">
            <w:pPr>
              <w:spacing w:line="400" w:lineRule="exact"/>
              <w:jc w:val="center"/>
              <w:rPr>
                <w:rFonts w:ascii="Times New Roman" w:hAnsi="Times New Roman" w:eastAsia="仿宋" w:cs="Times New Roman"/>
                <w:bCs/>
                <w:color w:val="000000"/>
                <w:sz w:val="30"/>
                <w:szCs w:val="30"/>
                <w:u w:val="single"/>
              </w:rPr>
            </w:pPr>
            <w:r>
              <w:rPr>
                <w:rFonts w:hint="eastAsia" w:ascii="Times New Roman" w:hAnsi="Times New Roman" w:eastAsia="仿宋" w:cs="Times New Roman"/>
                <w:bCs/>
                <w:color w:val="000000"/>
                <w:sz w:val="30"/>
                <w:szCs w:val="30"/>
                <w:lang w:val="en-US" w:eastAsia="zh-CN"/>
              </w:rPr>
              <w:t>2026</w:t>
            </w:r>
            <w:r>
              <w:rPr>
                <w:rFonts w:ascii="Times New Roman" w:hAnsi="Times New Roman" w:eastAsia="仿宋" w:cs="Times New Roman"/>
                <w:bCs/>
                <w:color w:val="000000"/>
                <w:sz w:val="30"/>
                <w:szCs w:val="30"/>
                <w:lang w:eastAsia="zh-Hans"/>
              </w:rPr>
              <w:t xml:space="preserve">年 </w:t>
            </w:r>
            <w:r>
              <w:rPr>
                <w:rFonts w:hint="eastAsia" w:ascii="Times New Roman" w:hAnsi="Times New Roman" w:eastAsia="仿宋" w:cs="Times New Roman"/>
                <w:bCs/>
                <w:color w:val="000000"/>
                <w:sz w:val="30"/>
                <w:szCs w:val="30"/>
                <w:lang w:val="en-US" w:eastAsia="zh-CN"/>
              </w:rPr>
              <w:t>2</w:t>
            </w:r>
            <w:r>
              <w:rPr>
                <w:rFonts w:ascii="Times New Roman" w:hAnsi="Times New Roman" w:eastAsia="仿宋" w:cs="Times New Roman"/>
                <w:bCs/>
                <w:color w:val="000000"/>
                <w:sz w:val="30"/>
                <w:szCs w:val="30"/>
                <w:lang w:eastAsia="zh-Hans"/>
              </w:rPr>
              <w:t xml:space="preserve">月 </w:t>
            </w:r>
            <w:r>
              <w:rPr>
                <w:rFonts w:hint="eastAsia" w:ascii="Times New Roman" w:hAnsi="Times New Roman" w:eastAsia="仿宋" w:cs="Times New Roman"/>
                <w:bCs/>
                <w:color w:val="000000"/>
                <w:sz w:val="30"/>
                <w:szCs w:val="30"/>
                <w:lang w:val="en-US" w:eastAsia="zh-CN"/>
              </w:rPr>
              <w:t>25</w:t>
            </w:r>
            <w:r>
              <w:rPr>
                <w:rFonts w:ascii="Times New Roman" w:hAnsi="Times New Roman" w:eastAsia="仿宋" w:cs="Times New Roman"/>
                <w:bCs/>
                <w:color w:val="000000"/>
                <w:sz w:val="30"/>
                <w:szCs w:val="30"/>
                <w:lang w:eastAsia="zh-Hans"/>
              </w:rPr>
              <w:t xml:space="preserve"> 日</w:t>
            </w:r>
          </w:p>
        </w:tc>
      </w:tr>
    </w:tbl>
    <w:p w14:paraId="7004AD8C">
      <w:pPr>
        <w:snapToGrid w:val="0"/>
        <w:spacing w:line="360" w:lineRule="auto"/>
        <w:ind w:firstLine="560" w:firstLineChars="200"/>
        <w:rPr>
          <w:rFonts w:ascii="Times New Roman" w:hAnsi="Times New Roman" w:eastAsia="仿宋"/>
          <w:sz w:val="28"/>
          <w:szCs w:val="28"/>
        </w:rPr>
      </w:pPr>
    </w:p>
    <w:p w14:paraId="7E82C167">
      <w:pPr>
        <w:widowControl/>
        <w:outlineLvl w:val="0"/>
        <w:rPr>
          <w:rFonts w:ascii="Times New Roman" w:hAnsi="Times New Roman"/>
          <w:b/>
          <w:bCs/>
        </w:rPr>
        <w:sectPr>
          <w:pgSz w:w="11906" w:h="16838"/>
          <w:pgMar w:top="1440" w:right="1800" w:bottom="1440" w:left="1800" w:header="851" w:footer="992" w:gutter="0"/>
          <w:cols w:space="425" w:num="1"/>
          <w:docGrid w:type="lines" w:linePitch="312" w:charSpace="0"/>
        </w:sectPr>
      </w:pPr>
    </w:p>
    <w:p w14:paraId="79427BD5">
      <w:pPr>
        <w:widowControl/>
        <w:spacing w:before="120" w:beforeLines="50" w:after="120" w:afterLines="50" w:line="400" w:lineRule="exact"/>
        <w:ind w:firstLine="482" w:firstLineChars="200"/>
        <w:rPr>
          <w:rFonts w:ascii="Times New Roman" w:hAnsi="Times New Roman" w:eastAsia="宋体" w:cs="Times New Roman"/>
          <w:b/>
          <w:bCs/>
          <w:color w:val="000000"/>
          <w:sz w:val="24"/>
          <w:szCs w:val="24"/>
        </w:rPr>
      </w:pPr>
      <w:bookmarkStart w:id="2" w:name="_Hlk205732960"/>
      <w:r>
        <w:rPr>
          <w:rFonts w:ascii="Times New Roman" w:hAnsi="Times New Roman" w:eastAsia="宋体" w:cs="Times New Roman"/>
          <w:b/>
          <w:bCs/>
          <w:color w:val="000000"/>
          <w:sz w:val="24"/>
          <w:szCs w:val="24"/>
        </w:rPr>
        <w:t>一、工作简况</w:t>
      </w:r>
      <w:bookmarkEnd w:id="2"/>
    </w:p>
    <w:p w14:paraId="06959E7B">
      <w:pPr>
        <w:widowControl/>
        <w:spacing w:before="120" w:beforeLines="50" w:after="120" w:afterLines="50" w:line="400" w:lineRule="exact"/>
        <w:ind w:firstLine="482" w:firstLineChars="200"/>
        <w:rPr>
          <w:rFonts w:hint="eastAsia" w:ascii="Times New Roman" w:hAnsi="Times New Roman" w:cs="Times New Roman"/>
          <w:b/>
          <w:bCs/>
          <w:color w:val="000000"/>
          <w:sz w:val="24"/>
          <w:szCs w:val="24"/>
          <w:lang w:val="en-US" w:eastAsia="zh-CN"/>
        </w:rPr>
      </w:pPr>
      <w:r>
        <w:rPr>
          <w:rFonts w:hint="eastAsia" w:ascii="Times New Roman" w:hAnsi="Times New Roman" w:cs="Times New Roman"/>
          <w:b/>
          <w:bCs/>
          <w:color w:val="000000"/>
          <w:sz w:val="24"/>
          <w:szCs w:val="24"/>
        </w:rPr>
        <w:t>（一）任务来源</w:t>
      </w:r>
    </w:p>
    <w:p w14:paraId="34ED912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国务院办公厅发布的《“十四五”文物保护和科技创新规划》中突出强调了要“加强标准化建设”，要“健全文物安全制度标准体系，提高安全防护设施建设和管理维护水平”，要“推进行业标准体系建设，提升文物科技创新能力和文物领域科技应用水平”。国家文物局印发的《文物安全防控“十四五”专项规划》也提出要“健全管理制度和技术标准，加强安全设施建设，全面增强安全预警和防控能力，提升安全管理水平，防范化解重大文物安全风险”。</w:t>
      </w:r>
    </w:p>
    <w:p w14:paraId="5375E96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2025年7月，国家文物局下达了行业标准立项通知，《</w:t>
      </w:r>
      <w:r>
        <w:rPr>
          <w:rFonts w:hint="eastAsia" w:ascii="仿宋" w:hAnsi="仿宋" w:eastAsia="仿宋" w:cs="仿宋"/>
          <w:sz w:val="24"/>
          <w:szCs w:val="24"/>
          <w:shd w:val="clear" w:color="auto" w:fill="FFFFFF"/>
        </w:rPr>
        <w:t>博物馆安全保卫管理规范</w:t>
      </w:r>
      <w:r>
        <w:rPr>
          <w:rFonts w:hint="eastAsia" w:ascii="仿宋" w:hAnsi="仿宋" w:eastAsia="仿宋" w:cs="仿宋"/>
          <w:sz w:val="24"/>
          <w:szCs w:val="24"/>
          <w:shd w:val="clear" w:color="auto" w:fill="FFFFFF"/>
          <w:lang w:val="en-US" w:eastAsia="zh-CN"/>
        </w:rPr>
        <w:t>》正式立项，计划号为</w:t>
      </w:r>
      <w:r>
        <w:rPr>
          <w:rFonts w:hint="eastAsia" w:ascii="仿宋" w:hAnsi="仿宋" w:eastAsia="仿宋" w:cs="仿宋"/>
          <w:snapToGrid w:val="0"/>
          <w:color w:val="000000"/>
          <w:spacing w:val="-1"/>
          <w:kern w:val="0"/>
          <w:sz w:val="24"/>
          <w:szCs w:val="24"/>
          <w:highlight w:val="none"/>
          <w:lang w:val="en-US" w:eastAsia="zh-CN"/>
        </w:rPr>
        <w:t>WW2025-007-T</w:t>
      </w:r>
      <w:r>
        <w:rPr>
          <w:rFonts w:hint="eastAsia" w:ascii="仿宋" w:hAnsi="仿宋" w:eastAsia="仿宋" w:cs="仿宋"/>
          <w:sz w:val="24"/>
          <w:szCs w:val="24"/>
          <w:highlight w:val="none"/>
          <w:shd w:val="clear" w:color="auto" w:fill="FFFFFF"/>
          <w:lang w:val="en-US" w:eastAsia="zh-CN"/>
        </w:rPr>
        <w:t>，</w:t>
      </w:r>
      <w:r>
        <w:rPr>
          <w:rFonts w:hint="eastAsia" w:ascii="仿宋" w:hAnsi="仿宋" w:eastAsia="仿宋" w:cs="仿宋"/>
          <w:sz w:val="24"/>
          <w:szCs w:val="24"/>
          <w:shd w:val="clear" w:color="auto" w:fill="FFFFFF"/>
          <w:lang w:val="en-US" w:eastAsia="zh-CN"/>
        </w:rPr>
        <w:t>归口单位为全国文物保护标准化技术委员会（TC289）。</w:t>
      </w:r>
    </w:p>
    <w:p w14:paraId="2C9856BE">
      <w:pPr>
        <w:widowControl/>
        <w:spacing w:before="120" w:beforeLines="50" w:after="120" w:afterLines="50" w:line="400" w:lineRule="exact"/>
        <w:ind w:firstLine="482" w:firstLineChars="200"/>
        <w:rPr>
          <w:rFonts w:hint="eastAsia" w:ascii="Times New Roman" w:hAnsi="Times New Roman" w:cs="Times New Roman"/>
          <w:b/>
          <w:bCs/>
          <w:color w:val="000000"/>
          <w:sz w:val="24"/>
          <w:szCs w:val="24"/>
          <w:lang w:val="en-US" w:eastAsia="zh-CN"/>
        </w:rPr>
      </w:pPr>
      <w:bookmarkStart w:id="3" w:name="_Hlk205732997"/>
      <w:r>
        <w:rPr>
          <w:rFonts w:hint="eastAsia" w:ascii="Times New Roman" w:hAnsi="Times New Roman" w:cs="Times New Roman"/>
          <w:b/>
          <w:bCs/>
          <w:color w:val="000000"/>
          <w:sz w:val="24"/>
          <w:szCs w:val="24"/>
          <w:lang w:val="en-US" w:eastAsia="zh-CN"/>
        </w:rPr>
        <w:t>（二）制定背景</w:t>
      </w:r>
    </w:p>
    <w:p w14:paraId="260960C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安全保卫是博物馆一项重要的基础工作，是立馆之本，贯穿于博物馆行政、业务工作的全过程，具有点多、面广、线长，难度大、责任重、风险高等特点。在免费开放的大背景下，安全保卫面临的形势愈发严峻，盗窃、火灾、文物损毁、施工破坏等事件时有发生，急需规范博物馆安全保卫工作，提高博物馆安全保卫能力。近年来，随着《中华人民共和国文物保护法》《中华人民共和国安全生产法》《博物馆管理办法》《博物馆安全保卫工作规定》等的贯彻落实以及国家和各地文物管理部门规章制度陆续出台、督察检查工作的持续开展，博物馆安全保卫工作在思想上、组织上、制度上、措施上逐步得到了加强，设备陈旧、技术落后、人员不足等问题得到了改善。但是，在具体工作中仍存在诸多突出的问题，如：部分博物馆安全制度不健全，管理不严格，员工违纪违规现象时有发生；一些博物馆“人防、物防、技防”措施不落实，安全隐患严重；有的博物馆对技防设施管理不善、使用不当，没有发挥技防应有的作用。</w:t>
      </w:r>
    </w:p>
    <w:p w14:paraId="64602F9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本项目的主要目标是确定博物馆安全保卫的组织实施流程，分析博物馆安全保卫的组织架构体系、职责分工体系、制度管理体系、日常工作管理规范等，明确适合博物馆的安全保卫管理的具体要求，结合国家、行业相关法律法规、技术标准，编制形成《博物馆安全保卫管理规范》，为博物馆安全保卫工作开展提供依据和支撑，为提高博物馆的安全保卫能力奠定基础，为博物馆的安全运行和文物保护提供保障。</w:t>
      </w:r>
    </w:p>
    <w:p w14:paraId="56735CF2">
      <w:pPr>
        <w:widowControl/>
        <w:spacing w:before="120" w:beforeLines="50" w:after="120" w:afterLines="50" w:line="400" w:lineRule="exact"/>
        <w:ind w:firstLine="482" w:firstLineChars="200"/>
        <w:rPr>
          <w:rFonts w:hint="eastAsia"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lang w:val="en-US" w:eastAsia="zh-CN"/>
        </w:rPr>
        <w:t>（三）主要工作与起草过程</w:t>
      </w:r>
    </w:p>
    <w:bookmarkEnd w:id="3"/>
    <w:p w14:paraId="35AA119C">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sz w:val="24"/>
          <w:szCs w:val="24"/>
          <w:shd w:val="clear" w:color="auto" w:fill="FFFFFF"/>
          <w:lang w:val="en-US" w:eastAsia="zh-CN"/>
        </w:rPr>
      </w:pPr>
      <w:r>
        <w:rPr>
          <w:rFonts w:hint="eastAsia" w:ascii="仿宋" w:hAnsi="仿宋" w:eastAsia="仿宋" w:cs="仿宋"/>
          <w:b/>
          <w:bCs/>
          <w:sz w:val="24"/>
          <w:szCs w:val="24"/>
          <w:shd w:val="clear" w:color="auto" w:fill="FFFFFF"/>
          <w:lang w:val="en-US" w:eastAsia="zh-CN"/>
        </w:rPr>
        <w:t>1.预研阶段</w:t>
      </w:r>
    </w:p>
    <w:p w14:paraId="01D4DBC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2023年—2024年，故宫博物院联合北京市科学技术研究院城市安全与环境科学研究所组成工作组，依托</w:t>
      </w:r>
      <w:r>
        <w:rPr>
          <w:rFonts w:hint="eastAsia" w:ascii="仿宋" w:hAnsi="仿宋" w:eastAsia="仿宋" w:cs="仿宋"/>
          <w:sz w:val="24"/>
          <w:szCs w:val="24"/>
          <w:shd w:val="clear" w:color="auto" w:fill="FFFFFF"/>
        </w:rPr>
        <w:t>国家文物局《〈博物馆安全保卫管理规范〉标准制修订研究》项目</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对博物馆安全保卫相关工作进行了系统性调研和分析。收集、整理、分析了国内外博物馆安全保卫的相关法律法规、规范性文件、研究文献等，并对不同类型、不同规模的博物馆开展了大量的实地调研和人员访谈，剖析总结了我国目前博物馆安全保卫工作存在的主要问题，进一步了解和掌握博物馆安全保卫工作规范化现状，并在此基础上确定标准框架，完成了标准（草案）及配套文件的起草工作。</w:t>
      </w:r>
    </w:p>
    <w:p w14:paraId="6782071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sz w:val="24"/>
          <w:szCs w:val="24"/>
          <w:shd w:val="clear" w:color="auto" w:fill="FFFFFF"/>
          <w:lang w:val="en-US" w:eastAsia="zh-CN"/>
        </w:rPr>
      </w:pPr>
      <w:r>
        <w:rPr>
          <w:rFonts w:hint="eastAsia" w:ascii="仿宋" w:hAnsi="仿宋" w:eastAsia="仿宋" w:cs="仿宋"/>
          <w:b/>
          <w:bCs/>
          <w:sz w:val="24"/>
          <w:szCs w:val="24"/>
          <w:shd w:val="clear" w:color="auto" w:fill="FFFFFF"/>
          <w:lang w:val="en-US" w:eastAsia="zh-CN"/>
        </w:rPr>
        <w:t>2.立项阶段</w:t>
      </w:r>
    </w:p>
    <w:p w14:paraId="28AA3EE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2025年2月，工作组进行了立项答辩，介绍了项目起草背景、必要性和目的意义、标准主要内容等，并就审查专家提出的问题进行了答辩。2025年7月，国家文物局下达了《</w:t>
      </w:r>
      <w:r>
        <w:rPr>
          <w:rFonts w:hint="eastAsia" w:ascii="仿宋" w:hAnsi="仿宋" w:eastAsia="仿宋" w:cs="仿宋"/>
          <w:sz w:val="24"/>
          <w:szCs w:val="24"/>
          <w:shd w:val="clear" w:color="auto" w:fill="FFFFFF"/>
        </w:rPr>
        <w:t>博物馆安全保卫管理规范</w:t>
      </w:r>
      <w:r>
        <w:rPr>
          <w:rFonts w:hint="eastAsia" w:ascii="仿宋" w:hAnsi="仿宋" w:eastAsia="仿宋" w:cs="仿宋"/>
          <w:sz w:val="24"/>
          <w:szCs w:val="24"/>
          <w:shd w:val="clear" w:color="auto" w:fill="FFFFFF"/>
          <w:lang w:val="en-US" w:eastAsia="zh-CN"/>
        </w:rPr>
        <w:t>》行业标准立项通知，计划号</w:t>
      </w:r>
      <w:r>
        <w:rPr>
          <w:rFonts w:hint="eastAsia" w:ascii="仿宋" w:hAnsi="仿宋" w:eastAsia="仿宋" w:cs="仿宋"/>
          <w:snapToGrid w:val="0"/>
          <w:color w:val="000000"/>
          <w:spacing w:val="-1"/>
          <w:kern w:val="0"/>
          <w:sz w:val="24"/>
          <w:szCs w:val="24"/>
          <w:highlight w:val="none"/>
          <w:lang w:val="en-US" w:eastAsia="zh-CN"/>
        </w:rPr>
        <w:t>WW2025-007-T</w:t>
      </w:r>
      <w:r>
        <w:rPr>
          <w:rFonts w:hint="eastAsia" w:ascii="仿宋" w:hAnsi="仿宋" w:eastAsia="仿宋" w:cs="仿宋"/>
          <w:sz w:val="24"/>
          <w:szCs w:val="24"/>
          <w:highlight w:val="none"/>
          <w:shd w:val="clear" w:color="auto" w:fill="FFFFFF"/>
          <w:lang w:val="en-US" w:eastAsia="zh-CN"/>
        </w:rPr>
        <w:t>。</w:t>
      </w:r>
    </w:p>
    <w:p w14:paraId="41C22221">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sz w:val="24"/>
          <w:szCs w:val="24"/>
          <w:shd w:val="clear" w:color="auto" w:fill="FFFFFF"/>
          <w:lang w:val="en-US" w:eastAsia="zh-CN"/>
        </w:rPr>
      </w:pPr>
      <w:r>
        <w:rPr>
          <w:rFonts w:hint="eastAsia" w:ascii="仿宋" w:hAnsi="仿宋" w:eastAsia="仿宋" w:cs="仿宋"/>
          <w:b/>
          <w:bCs/>
          <w:sz w:val="24"/>
          <w:szCs w:val="24"/>
          <w:shd w:val="clear" w:color="auto" w:fill="FFFFFF"/>
          <w:lang w:val="en-US" w:eastAsia="zh-CN"/>
        </w:rPr>
        <w:t>3.起草阶段</w:t>
      </w:r>
    </w:p>
    <w:p w14:paraId="2F4A953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项目立项后，由故宫博物院牵头，联合北京市科学技术研究院城市安全与环境科学研究所、中国国家博物馆、敦煌研究院、秦始皇兵马俑博物馆、国家自然博物馆、成都博物馆、泉州市博物馆、国家自然灾害防治研究院等单位组成标准起草组，共同开展编制工作。本文件制定主要起草人员及分工见表1。</w:t>
      </w:r>
    </w:p>
    <w:p w14:paraId="6D80EA30">
      <w:pPr>
        <w:spacing w:line="560" w:lineRule="exact"/>
        <w:jc w:val="center"/>
        <w:rPr>
          <w:rFonts w:hint="default" w:ascii="Times New Roman" w:hAnsi="Times New Roman" w:eastAsia="仿宋_GB2312" w:cs="Times New Roman"/>
          <w:iCs/>
          <w:sz w:val="21"/>
          <w:szCs w:val="21"/>
          <w:highlight w:val="none"/>
          <w:shd w:val="clear" w:color="auto" w:fill="FFFFFF"/>
        </w:rPr>
      </w:pPr>
      <w:r>
        <w:rPr>
          <w:rFonts w:hint="default" w:ascii="Times New Roman" w:hAnsi="Times New Roman" w:eastAsia="仿宋_GB2312" w:cs="Times New Roman"/>
          <w:iCs/>
          <w:sz w:val="21"/>
          <w:szCs w:val="21"/>
          <w:highlight w:val="none"/>
          <w:shd w:val="clear" w:color="auto" w:fill="FFFFFF"/>
        </w:rPr>
        <w:t>表1 主要起草人员及分工表</w:t>
      </w:r>
    </w:p>
    <w:tbl>
      <w:tblPr>
        <w:tblStyle w:val="13"/>
        <w:tblW w:w="8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350"/>
        <w:gridCol w:w="3395"/>
        <w:gridCol w:w="2751"/>
      </w:tblGrid>
      <w:tr w14:paraId="2DF7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1" w:type="dxa"/>
            <w:noWrap w:val="0"/>
            <w:vAlign w:val="center"/>
          </w:tcPr>
          <w:p w14:paraId="56AAC855">
            <w:pPr>
              <w:spacing w:line="300" w:lineRule="exact"/>
              <w:jc w:val="center"/>
              <w:rPr>
                <w:rFonts w:hint="eastAsia" w:ascii="仿宋" w:hAnsi="仿宋" w:eastAsia="仿宋" w:cs="仿宋"/>
                <w:b/>
                <w:bCs/>
                <w:color w:val="000000"/>
                <w:sz w:val="21"/>
                <w:szCs w:val="21"/>
                <w:highlight w:val="none"/>
                <w:lang w:eastAsia="zh-Hans"/>
              </w:rPr>
            </w:pPr>
            <w:r>
              <w:rPr>
                <w:rFonts w:hint="eastAsia" w:ascii="仿宋" w:hAnsi="仿宋" w:eastAsia="仿宋" w:cs="仿宋"/>
                <w:b/>
                <w:bCs/>
                <w:color w:val="000000"/>
                <w:sz w:val="21"/>
                <w:szCs w:val="21"/>
                <w:highlight w:val="none"/>
                <w:lang w:eastAsia="zh-Hans"/>
              </w:rPr>
              <w:t>序号</w:t>
            </w:r>
          </w:p>
        </w:tc>
        <w:tc>
          <w:tcPr>
            <w:tcW w:w="1350" w:type="dxa"/>
            <w:noWrap w:val="0"/>
            <w:vAlign w:val="center"/>
          </w:tcPr>
          <w:p w14:paraId="539C8A0E">
            <w:pPr>
              <w:spacing w:line="300" w:lineRule="exact"/>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起草人姓名</w:t>
            </w:r>
          </w:p>
        </w:tc>
        <w:tc>
          <w:tcPr>
            <w:tcW w:w="3395" w:type="dxa"/>
            <w:noWrap w:val="0"/>
            <w:vAlign w:val="center"/>
          </w:tcPr>
          <w:p w14:paraId="03EEDE2B">
            <w:pPr>
              <w:spacing w:line="300" w:lineRule="exact"/>
              <w:jc w:val="center"/>
              <w:rPr>
                <w:rFonts w:hint="eastAsia" w:ascii="仿宋" w:hAnsi="仿宋" w:eastAsia="仿宋" w:cs="仿宋"/>
                <w:b/>
                <w:bCs/>
                <w:color w:val="000000"/>
                <w:sz w:val="21"/>
                <w:szCs w:val="21"/>
                <w:highlight w:val="none"/>
                <w:lang w:eastAsia="zh-Hans"/>
              </w:rPr>
            </w:pPr>
            <w:r>
              <w:rPr>
                <w:rFonts w:hint="eastAsia" w:ascii="仿宋" w:hAnsi="仿宋" w:eastAsia="仿宋" w:cs="仿宋"/>
                <w:b/>
                <w:bCs/>
                <w:color w:val="000000"/>
                <w:sz w:val="21"/>
                <w:szCs w:val="21"/>
                <w:highlight w:val="none"/>
                <w:lang w:eastAsia="zh-Hans"/>
              </w:rPr>
              <w:t>所在单位</w:t>
            </w:r>
          </w:p>
        </w:tc>
        <w:tc>
          <w:tcPr>
            <w:tcW w:w="2751" w:type="dxa"/>
            <w:noWrap w:val="0"/>
            <w:vAlign w:val="center"/>
          </w:tcPr>
          <w:p w14:paraId="24A3A3BE">
            <w:pPr>
              <w:spacing w:line="300" w:lineRule="exact"/>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工作分工</w:t>
            </w:r>
          </w:p>
        </w:tc>
      </w:tr>
      <w:tr w14:paraId="7797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1" w:type="dxa"/>
            <w:noWrap w:val="0"/>
            <w:vAlign w:val="center"/>
          </w:tcPr>
          <w:p w14:paraId="5EE8351F">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4D03A7C4">
            <w:pPr>
              <w:spacing w:line="30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王波</w:t>
            </w:r>
          </w:p>
        </w:tc>
        <w:tc>
          <w:tcPr>
            <w:tcW w:w="3395" w:type="dxa"/>
            <w:noWrap w:val="0"/>
            <w:vAlign w:val="center"/>
          </w:tcPr>
          <w:p w14:paraId="0CCD70AA">
            <w:pPr>
              <w:spacing w:line="300" w:lineRule="exact"/>
              <w:jc w:val="center"/>
              <w:rPr>
                <w:rFonts w:hint="eastAsia" w:ascii="仿宋" w:hAnsi="仿宋" w:eastAsia="仿宋" w:cs="仿宋"/>
                <w:color w:val="000000"/>
                <w:sz w:val="21"/>
                <w:szCs w:val="21"/>
                <w:highlight w:val="none"/>
                <w:lang w:eastAsia="zh-Hans"/>
              </w:rPr>
            </w:pPr>
            <w:r>
              <w:rPr>
                <w:rFonts w:hint="eastAsia" w:ascii="仿宋" w:hAnsi="仿宋" w:eastAsia="仿宋" w:cs="仿宋"/>
                <w:color w:val="000000"/>
                <w:sz w:val="21"/>
                <w:szCs w:val="21"/>
                <w:highlight w:val="none"/>
                <w:lang w:eastAsia="zh-Hans"/>
              </w:rPr>
              <w:t>故宫博物院保卫处</w:t>
            </w:r>
          </w:p>
        </w:tc>
        <w:tc>
          <w:tcPr>
            <w:tcW w:w="2751" w:type="dxa"/>
            <w:noWrap w:val="0"/>
            <w:vAlign w:val="center"/>
          </w:tcPr>
          <w:p w14:paraId="55022AC0">
            <w:pPr>
              <w:spacing w:line="30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总体框架及思路确定</w:t>
            </w:r>
          </w:p>
        </w:tc>
      </w:tr>
      <w:tr w14:paraId="5C1C0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786DFDC6">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5AC958B9">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姚晓晖</w:t>
            </w:r>
          </w:p>
        </w:tc>
        <w:tc>
          <w:tcPr>
            <w:tcW w:w="3395" w:type="dxa"/>
            <w:noWrap w:val="0"/>
            <w:tcMar>
              <w:top w:w="0" w:type="dxa"/>
              <w:left w:w="51" w:type="dxa"/>
              <w:bottom w:w="0" w:type="dxa"/>
              <w:right w:w="51" w:type="dxa"/>
            </w:tcMar>
            <w:vAlign w:val="center"/>
          </w:tcPr>
          <w:p w14:paraId="62262059">
            <w:pPr>
              <w:snapToGrid w:val="0"/>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北京市科学技术研究院城市安全与环境科学研究所</w:t>
            </w:r>
          </w:p>
        </w:tc>
        <w:tc>
          <w:tcPr>
            <w:tcW w:w="2751" w:type="dxa"/>
            <w:noWrap w:val="0"/>
            <w:tcMar>
              <w:top w:w="0" w:type="dxa"/>
              <w:left w:w="51" w:type="dxa"/>
              <w:bottom w:w="0" w:type="dxa"/>
              <w:right w:w="51" w:type="dxa"/>
            </w:tcMar>
            <w:vAlign w:val="center"/>
          </w:tcPr>
          <w:p w14:paraId="7D80E1FE">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sz w:val="21"/>
                <w:szCs w:val="21"/>
                <w:highlight w:val="none"/>
                <w:lang w:val="en-US" w:eastAsia="zh-CN"/>
              </w:rPr>
              <w:t>标准框架研究及</w:t>
            </w:r>
            <w:r>
              <w:rPr>
                <w:rFonts w:hint="eastAsia" w:ascii="仿宋" w:hAnsi="仿宋" w:eastAsia="仿宋" w:cs="仿宋"/>
                <w:sz w:val="21"/>
                <w:szCs w:val="21"/>
                <w:highlight w:val="none"/>
              </w:rPr>
              <w:t>组织机构与人员</w:t>
            </w:r>
            <w:r>
              <w:rPr>
                <w:rFonts w:hint="eastAsia" w:ascii="仿宋" w:hAnsi="仿宋" w:eastAsia="仿宋" w:cs="仿宋"/>
                <w:sz w:val="21"/>
                <w:szCs w:val="21"/>
                <w:highlight w:val="none"/>
                <w:lang w:val="en-US" w:eastAsia="zh-CN"/>
              </w:rPr>
              <w:t>章节统筹和撰写</w:t>
            </w:r>
          </w:p>
        </w:tc>
      </w:tr>
      <w:tr w14:paraId="7E47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2D30E5CF">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0AC1522">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李季梅</w:t>
            </w:r>
          </w:p>
        </w:tc>
        <w:tc>
          <w:tcPr>
            <w:tcW w:w="3395" w:type="dxa"/>
            <w:noWrap w:val="0"/>
            <w:tcMar>
              <w:top w:w="0" w:type="dxa"/>
              <w:left w:w="51" w:type="dxa"/>
              <w:bottom w:w="0" w:type="dxa"/>
              <w:right w:w="51" w:type="dxa"/>
            </w:tcMar>
            <w:vAlign w:val="center"/>
          </w:tcPr>
          <w:p w14:paraId="1FC9F651">
            <w:pPr>
              <w:snapToGrid w:val="0"/>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北京市科学技术研究院城市安全与环境科学研究所</w:t>
            </w:r>
          </w:p>
        </w:tc>
        <w:tc>
          <w:tcPr>
            <w:tcW w:w="2751" w:type="dxa"/>
            <w:noWrap w:val="0"/>
            <w:tcMar>
              <w:top w:w="0" w:type="dxa"/>
              <w:left w:w="51" w:type="dxa"/>
              <w:bottom w:w="0" w:type="dxa"/>
              <w:right w:w="51" w:type="dxa"/>
            </w:tcMar>
            <w:vAlign w:val="center"/>
          </w:tcPr>
          <w:p w14:paraId="650A8C53">
            <w:pPr>
              <w:snapToGrid w:val="0"/>
              <w:spacing w:line="320" w:lineRule="exact"/>
              <w:jc w:val="center"/>
              <w:rPr>
                <w:rFonts w:hint="eastAsia" w:ascii="仿宋" w:hAnsi="仿宋" w:eastAsia="仿宋" w:cs="仿宋"/>
                <w:color w:val="000000"/>
                <w:sz w:val="21"/>
                <w:szCs w:val="21"/>
                <w:highlight w:val="none"/>
                <w:lang w:val="en-US"/>
              </w:rPr>
            </w:pPr>
            <w:r>
              <w:rPr>
                <w:rFonts w:hint="eastAsia" w:ascii="仿宋" w:hAnsi="仿宋" w:eastAsia="仿宋" w:cs="仿宋"/>
                <w:sz w:val="21"/>
                <w:szCs w:val="21"/>
                <w:highlight w:val="none"/>
                <w:lang w:val="en-US" w:eastAsia="zh-CN"/>
              </w:rPr>
              <w:t>调研组织及日常工作管理章节统筹和撰写</w:t>
            </w:r>
          </w:p>
        </w:tc>
      </w:tr>
      <w:tr w14:paraId="2A93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23ADC5A8">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1A131FBD">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苏鹏</w:t>
            </w:r>
          </w:p>
        </w:tc>
        <w:tc>
          <w:tcPr>
            <w:tcW w:w="3395" w:type="dxa"/>
            <w:noWrap w:val="0"/>
            <w:tcMar>
              <w:top w:w="0" w:type="dxa"/>
              <w:left w:w="51" w:type="dxa"/>
              <w:bottom w:w="0" w:type="dxa"/>
              <w:right w:w="51" w:type="dxa"/>
            </w:tcMar>
            <w:vAlign w:val="center"/>
          </w:tcPr>
          <w:p w14:paraId="20C309B9">
            <w:pPr>
              <w:spacing w:line="300" w:lineRule="exact"/>
              <w:jc w:val="center"/>
              <w:rPr>
                <w:rFonts w:hint="eastAsia" w:ascii="仿宋" w:hAnsi="仿宋" w:eastAsia="仿宋" w:cs="仿宋"/>
                <w:color w:val="000000"/>
                <w:kern w:val="2"/>
                <w:sz w:val="21"/>
                <w:szCs w:val="21"/>
                <w:highlight w:val="none"/>
                <w:lang w:val="en-US" w:eastAsia="zh-Hans" w:bidi="ar-SA"/>
              </w:rPr>
            </w:pPr>
            <w:r>
              <w:rPr>
                <w:rFonts w:hint="eastAsia" w:ascii="仿宋" w:hAnsi="仿宋" w:eastAsia="仿宋" w:cs="仿宋"/>
                <w:color w:val="000000"/>
                <w:sz w:val="21"/>
                <w:szCs w:val="21"/>
                <w:highlight w:val="none"/>
                <w:lang w:eastAsia="zh-Hans"/>
              </w:rPr>
              <w:t>故宫博物院保卫处</w:t>
            </w:r>
          </w:p>
        </w:tc>
        <w:tc>
          <w:tcPr>
            <w:tcW w:w="2751" w:type="dxa"/>
            <w:noWrap w:val="0"/>
            <w:tcMar>
              <w:top w:w="0" w:type="dxa"/>
              <w:left w:w="51" w:type="dxa"/>
              <w:bottom w:w="0" w:type="dxa"/>
              <w:right w:w="51" w:type="dxa"/>
            </w:tcMar>
            <w:vAlign w:val="center"/>
          </w:tcPr>
          <w:p w14:paraId="5584BCBC">
            <w:pPr>
              <w:spacing w:line="30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SA"/>
              </w:rPr>
              <w:t>标准框架研究及电子防范系统管理相关内容撰写</w:t>
            </w:r>
          </w:p>
        </w:tc>
      </w:tr>
      <w:tr w14:paraId="3A43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681" w:type="dxa"/>
            <w:noWrap w:val="0"/>
            <w:vAlign w:val="center"/>
          </w:tcPr>
          <w:p w14:paraId="4D5EEFC3">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735A3A94">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钱重阳</w:t>
            </w:r>
          </w:p>
        </w:tc>
        <w:tc>
          <w:tcPr>
            <w:tcW w:w="3395" w:type="dxa"/>
            <w:noWrap w:val="0"/>
            <w:tcMar>
              <w:top w:w="0" w:type="dxa"/>
              <w:left w:w="51" w:type="dxa"/>
              <w:bottom w:w="0" w:type="dxa"/>
              <w:right w:w="51" w:type="dxa"/>
            </w:tcMar>
            <w:vAlign w:val="center"/>
          </w:tcPr>
          <w:p w14:paraId="2F66C022">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北京市科学技术研究院城市安全与环境科学研究所</w:t>
            </w:r>
          </w:p>
        </w:tc>
        <w:tc>
          <w:tcPr>
            <w:tcW w:w="2751" w:type="dxa"/>
            <w:noWrap w:val="0"/>
            <w:tcMar>
              <w:top w:w="0" w:type="dxa"/>
              <w:left w:w="51" w:type="dxa"/>
              <w:bottom w:w="0" w:type="dxa"/>
              <w:right w:w="51" w:type="dxa"/>
            </w:tcMar>
            <w:vAlign w:val="center"/>
          </w:tcPr>
          <w:p w14:paraId="7DE576E2">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安全保卫管理制度相关内容撰写</w:t>
            </w:r>
          </w:p>
        </w:tc>
      </w:tr>
      <w:tr w14:paraId="2704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681" w:type="dxa"/>
            <w:noWrap w:val="0"/>
            <w:vAlign w:val="center"/>
          </w:tcPr>
          <w:p w14:paraId="5036CF59">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00476059">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刘瑾洲</w:t>
            </w:r>
          </w:p>
        </w:tc>
        <w:tc>
          <w:tcPr>
            <w:tcW w:w="3395" w:type="dxa"/>
            <w:shd w:val="clear" w:color="auto" w:fill="auto"/>
            <w:noWrap w:val="0"/>
            <w:tcMar>
              <w:top w:w="0" w:type="dxa"/>
              <w:left w:w="51" w:type="dxa"/>
              <w:bottom w:w="0" w:type="dxa"/>
              <w:right w:w="51" w:type="dxa"/>
            </w:tcMar>
            <w:vAlign w:val="center"/>
          </w:tcPr>
          <w:p w14:paraId="084A4D5F">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故宫博物院保卫处</w:t>
            </w:r>
          </w:p>
        </w:tc>
        <w:tc>
          <w:tcPr>
            <w:tcW w:w="2751" w:type="dxa"/>
            <w:shd w:val="clear" w:color="auto" w:fill="auto"/>
            <w:noWrap w:val="0"/>
            <w:tcMar>
              <w:top w:w="0" w:type="dxa"/>
              <w:left w:w="51" w:type="dxa"/>
              <w:bottom w:w="0" w:type="dxa"/>
              <w:right w:w="51" w:type="dxa"/>
            </w:tcMar>
            <w:vAlign w:val="center"/>
          </w:tcPr>
          <w:p w14:paraId="10071B27">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机构与人员相关内容撰写</w:t>
            </w:r>
          </w:p>
        </w:tc>
      </w:tr>
      <w:tr w14:paraId="3D98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681" w:type="dxa"/>
            <w:noWrap w:val="0"/>
            <w:vAlign w:val="center"/>
          </w:tcPr>
          <w:p w14:paraId="4568C738">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7C2D1B36">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宁利君</w:t>
            </w:r>
          </w:p>
        </w:tc>
        <w:tc>
          <w:tcPr>
            <w:tcW w:w="3395" w:type="dxa"/>
            <w:shd w:val="clear" w:color="auto" w:fill="auto"/>
            <w:noWrap w:val="0"/>
            <w:tcMar>
              <w:top w:w="0" w:type="dxa"/>
              <w:left w:w="51" w:type="dxa"/>
              <w:bottom w:w="0" w:type="dxa"/>
              <w:right w:w="51" w:type="dxa"/>
            </w:tcMar>
            <w:vAlign w:val="center"/>
          </w:tcPr>
          <w:p w14:paraId="046419F6">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北京市科学技术研究院城市安全与环境科学研究所</w:t>
            </w:r>
          </w:p>
        </w:tc>
        <w:tc>
          <w:tcPr>
            <w:tcW w:w="2751" w:type="dxa"/>
            <w:shd w:val="clear" w:color="auto" w:fill="auto"/>
            <w:noWrap w:val="0"/>
            <w:tcMar>
              <w:top w:w="0" w:type="dxa"/>
              <w:left w:w="51" w:type="dxa"/>
              <w:bottom w:w="0" w:type="dxa"/>
              <w:right w:w="51" w:type="dxa"/>
            </w:tcMar>
            <w:vAlign w:val="center"/>
          </w:tcPr>
          <w:p w14:paraId="0FBD1B18">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现有标准及法规制度分析与证件管理相关内容撰写</w:t>
            </w:r>
          </w:p>
        </w:tc>
      </w:tr>
      <w:tr w14:paraId="1CE4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681" w:type="dxa"/>
            <w:noWrap w:val="0"/>
            <w:vAlign w:val="center"/>
          </w:tcPr>
          <w:p w14:paraId="73D0E6A8">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7DC93955">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张茂福</w:t>
            </w:r>
          </w:p>
        </w:tc>
        <w:tc>
          <w:tcPr>
            <w:tcW w:w="3395" w:type="dxa"/>
            <w:shd w:val="clear" w:color="auto" w:fill="auto"/>
            <w:noWrap w:val="0"/>
            <w:tcMar>
              <w:top w:w="0" w:type="dxa"/>
              <w:left w:w="51" w:type="dxa"/>
              <w:bottom w:w="0" w:type="dxa"/>
              <w:right w:w="51" w:type="dxa"/>
            </w:tcMar>
            <w:vAlign w:val="center"/>
          </w:tcPr>
          <w:p w14:paraId="195F117B">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中国国家博物馆保卫处</w:t>
            </w:r>
          </w:p>
        </w:tc>
        <w:tc>
          <w:tcPr>
            <w:tcW w:w="2751" w:type="dxa"/>
            <w:shd w:val="clear" w:color="auto" w:fill="auto"/>
            <w:noWrap w:val="0"/>
            <w:tcMar>
              <w:top w:w="0" w:type="dxa"/>
              <w:left w:w="51" w:type="dxa"/>
              <w:bottom w:w="0" w:type="dxa"/>
              <w:right w:w="51" w:type="dxa"/>
            </w:tcMar>
            <w:vAlign w:val="center"/>
          </w:tcPr>
          <w:p w14:paraId="72AF60A1">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标准框架研究及内容审核</w:t>
            </w:r>
          </w:p>
        </w:tc>
      </w:tr>
      <w:tr w14:paraId="5084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725B0AB5">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323A3305">
            <w:pPr>
              <w:snapToGrid w:val="0"/>
              <w:spacing w:line="320" w:lineRule="exact"/>
              <w:jc w:val="center"/>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lang w:val="en-US" w:eastAsia="zh-CN"/>
              </w:rPr>
              <w:t>张帅</w:t>
            </w:r>
          </w:p>
        </w:tc>
        <w:tc>
          <w:tcPr>
            <w:tcW w:w="3395" w:type="dxa"/>
            <w:shd w:val="clear" w:color="auto" w:fill="auto"/>
            <w:noWrap w:val="0"/>
            <w:tcMar>
              <w:top w:w="0" w:type="dxa"/>
              <w:left w:w="51" w:type="dxa"/>
              <w:bottom w:w="0" w:type="dxa"/>
              <w:right w:w="51" w:type="dxa"/>
            </w:tcMar>
            <w:vAlign w:val="center"/>
          </w:tcPr>
          <w:p w14:paraId="1BC31890">
            <w:pPr>
              <w:snapToGrid w:val="0"/>
              <w:spacing w:line="320" w:lineRule="exact"/>
              <w:jc w:val="center"/>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lang w:val="en-US" w:eastAsia="zh-CN"/>
              </w:rPr>
              <w:t>敦煌研究院保卫处</w:t>
            </w:r>
          </w:p>
        </w:tc>
        <w:tc>
          <w:tcPr>
            <w:tcW w:w="2751" w:type="dxa"/>
            <w:shd w:val="clear" w:color="auto" w:fill="auto"/>
            <w:noWrap w:val="0"/>
            <w:tcMar>
              <w:top w:w="0" w:type="dxa"/>
              <w:left w:w="51" w:type="dxa"/>
              <w:bottom w:w="0" w:type="dxa"/>
              <w:right w:w="51" w:type="dxa"/>
            </w:tcMar>
            <w:vAlign w:val="center"/>
          </w:tcPr>
          <w:p w14:paraId="1E1D4F43">
            <w:pPr>
              <w:snapToGrid w:val="0"/>
              <w:spacing w:line="320" w:lineRule="exact"/>
              <w:jc w:val="center"/>
              <w:rPr>
                <w:rFonts w:hint="eastAsia" w:ascii="仿宋" w:hAnsi="仿宋" w:eastAsia="仿宋" w:cs="仿宋"/>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标准框架研究及内容审核</w:t>
            </w:r>
          </w:p>
        </w:tc>
      </w:tr>
      <w:tr w14:paraId="4686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2F0B670D">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7BE8CE04">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马军辉</w:t>
            </w:r>
          </w:p>
        </w:tc>
        <w:tc>
          <w:tcPr>
            <w:tcW w:w="3395" w:type="dxa"/>
            <w:shd w:val="clear" w:color="auto" w:fill="auto"/>
            <w:noWrap w:val="0"/>
            <w:tcMar>
              <w:top w:w="0" w:type="dxa"/>
              <w:left w:w="51" w:type="dxa"/>
              <w:bottom w:w="0" w:type="dxa"/>
              <w:right w:w="51" w:type="dxa"/>
            </w:tcMar>
            <w:vAlign w:val="center"/>
          </w:tcPr>
          <w:p w14:paraId="0EA95703">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秦始皇兵马俑博物馆</w:t>
            </w:r>
          </w:p>
        </w:tc>
        <w:tc>
          <w:tcPr>
            <w:tcW w:w="2751" w:type="dxa"/>
            <w:shd w:val="clear" w:color="auto" w:fill="auto"/>
            <w:noWrap w:val="0"/>
            <w:tcMar>
              <w:top w:w="0" w:type="dxa"/>
              <w:left w:w="51" w:type="dxa"/>
              <w:bottom w:w="0" w:type="dxa"/>
              <w:right w:w="51" w:type="dxa"/>
            </w:tcMar>
            <w:vAlign w:val="center"/>
          </w:tcPr>
          <w:p w14:paraId="00155FA5">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标准框架研究及内容审核</w:t>
            </w:r>
          </w:p>
        </w:tc>
      </w:tr>
      <w:tr w14:paraId="1860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2D28FC0D">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2D27FD21">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黄明珍</w:t>
            </w:r>
          </w:p>
        </w:tc>
        <w:tc>
          <w:tcPr>
            <w:tcW w:w="3395" w:type="dxa"/>
            <w:shd w:val="clear" w:color="auto" w:fill="auto"/>
            <w:noWrap w:val="0"/>
            <w:tcMar>
              <w:top w:w="0" w:type="dxa"/>
              <w:left w:w="51" w:type="dxa"/>
              <w:bottom w:w="0" w:type="dxa"/>
              <w:right w:w="51" w:type="dxa"/>
            </w:tcMar>
            <w:vAlign w:val="center"/>
          </w:tcPr>
          <w:p w14:paraId="3931D9BB">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泉州市博物馆</w:t>
            </w:r>
          </w:p>
        </w:tc>
        <w:tc>
          <w:tcPr>
            <w:tcW w:w="2751" w:type="dxa"/>
            <w:shd w:val="clear" w:color="auto" w:fill="auto"/>
            <w:noWrap w:val="0"/>
            <w:tcMar>
              <w:top w:w="0" w:type="dxa"/>
              <w:left w:w="51" w:type="dxa"/>
              <w:bottom w:w="0" w:type="dxa"/>
              <w:right w:w="51" w:type="dxa"/>
            </w:tcMar>
            <w:vAlign w:val="center"/>
          </w:tcPr>
          <w:p w14:paraId="6F28DB91">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标准框架研究及内容审核</w:t>
            </w:r>
          </w:p>
        </w:tc>
      </w:tr>
      <w:tr w14:paraId="06EE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366BF8C8">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6C3C7C5B">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张弩</w:t>
            </w:r>
          </w:p>
        </w:tc>
        <w:tc>
          <w:tcPr>
            <w:tcW w:w="3395" w:type="dxa"/>
            <w:shd w:val="clear" w:color="auto" w:fill="auto"/>
            <w:noWrap w:val="0"/>
            <w:tcMar>
              <w:top w:w="0" w:type="dxa"/>
              <w:left w:w="51" w:type="dxa"/>
              <w:bottom w:w="0" w:type="dxa"/>
              <w:right w:w="51" w:type="dxa"/>
            </w:tcMar>
            <w:vAlign w:val="center"/>
          </w:tcPr>
          <w:p w14:paraId="73D08F18">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成都市博物馆保卫处</w:t>
            </w:r>
          </w:p>
        </w:tc>
        <w:tc>
          <w:tcPr>
            <w:tcW w:w="2751" w:type="dxa"/>
            <w:shd w:val="clear" w:color="auto" w:fill="auto"/>
            <w:noWrap w:val="0"/>
            <w:tcMar>
              <w:top w:w="0" w:type="dxa"/>
              <w:left w:w="51" w:type="dxa"/>
              <w:bottom w:w="0" w:type="dxa"/>
              <w:right w:w="51" w:type="dxa"/>
            </w:tcMar>
            <w:vAlign w:val="center"/>
          </w:tcPr>
          <w:p w14:paraId="03DFA737">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标准框架研究及内容审核</w:t>
            </w:r>
          </w:p>
        </w:tc>
      </w:tr>
      <w:tr w14:paraId="7344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28F9F10D">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186D1337">
            <w:pPr>
              <w:snapToGrid w:val="0"/>
              <w:spacing w:line="320" w:lineRule="exact"/>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史英周</w:t>
            </w:r>
          </w:p>
        </w:tc>
        <w:tc>
          <w:tcPr>
            <w:tcW w:w="3395" w:type="dxa"/>
            <w:noWrap w:val="0"/>
            <w:tcMar>
              <w:top w:w="0" w:type="dxa"/>
              <w:left w:w="51" w:type="dxa"/>
              <w:bottom w:w="0" w:type="dxa"/>
              <w:right w:w="51" w:type="dxa"/>
            </w:tcMar>
            <w:vAlign w:val="center"/>
          </w:tcPr>
          <w:p w14:paraId="5E6F04DC">
            <w:pPr>
              <w:snapToGrid w:val="0"/>
              <w:spacing w:line="320" w:lineRule="exact"/>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国家自然博物馆</w:t>
            </w:r>
          </w:p>
        </w:tc>
        <w:tc>
          <w:tcPr>
            <w:tcW w:w="2751" w:type="dxa"/>
            <w:noWrap w:val="0"/>
            <w:tcMar>
              <w:top w:w="0" w:type="dxa"/>
              <w:left w:w="51" w:type="dxa"/>
              <w:bottom w:w="0" w:type="dxa"/>
              <w:right w:w="51" w:type="dxa"/>
            </w:tcMar>
            <w:vAlign w:val="center"/>
          </w:tcPr>
          <w:p w14:paraId="1CAB395D">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标准框架研究及内容审核</w:t>
            </w:r>
          </w:p>
        </w:tc>
      </w:tr>
      <w:tr w14:paraId="4559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799B31E4">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shd w:val="clear" w:color="auto" w:fill="auto"/>
            <w:noWrap w:val="0"/>
            <w:vAlign w:val="center"/>
          </w:tcPr>
          <w:p w14:paraId="6EFB85FD">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洪卫军</w:t>
            </w:r>
          </w:p>
        </w:tc>
        <w:tc>
          <w:tcPr>
            <w:tcW w:w="3395" w:type="dxa"/>
            <w:shd w:val="clear" w:color="auto" w:fill="auto"/>
            <w:noWrap w:val="0"/>
            <w:tcMar>
              <w:top w:w="0" w:type="dxa"/>
              <w:left w:w="51" w:type="dxa"/>
              <w:bottom w:w="0" w:type="dxa"/>
              <w:right w:w="51" w:type="dxa"/>
            </w:tcMar>
            <w:vAlign w:val="center"/>
          </w:tcPr>
          <w:p w14:paraId="69D4A20F">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中国人民公安大学</w:t>
            </w:r>
          </w:p>
        </w:tc>
        <w:tc>
          <w:tcPr>
            <w:tcW w:w="2751" w:type="dxa"/>
            <w:shd w:val="clear" w:color="auto" w:fill="auto"/>
            <w:noWrap w:val="0"/>
            <w:tcMar>
              <w:top w:w="0" w:type="dxa"/>
              <w:left w:w="51" w:type="dxa"/>
              <w:bottom w:w="0" w:type="dxa"/>
              <w:right w:w="51" w:type="dxa"/>
            </w:tcMar>
            <w:vAlign w:val="center"/>
          </w:tcPr>
          <w:p w14:paraId="74359BF5">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标准框架研究及内容审核</w:t>
            </w:r>
          </w:p>
        </w:tc>
      </w:tr>
      <w:tr w14:paraId="380EF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092C1C17">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1FE1A89">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李海鹏</w:t>
            </w:r>
          </w:p>
        </w:tc>
        <w:tc>
          <w:tcPr>
            <w:tcW w:w="3395" w:type="dxa"/>
            <w:noWrap w:val="0"/>
            <w:tcMar>
              <w:top w:w="0" w:type="dxa"/>
              <w:left w:w="51" w:type="dxa"/>
              <w:bottom w:w="0" w:type="dxa"/>
              <w:right w:w="51" w:type="dxa"/>
            </w:tcMar>
            <w:vAlign w:val="center"/>
          </w:tcPr>
          <w:p w14:paraId="61C63BE8">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SA"/>
              </w:rPr>
              <w:t>国家自然灾害防治研究院</w:t>
            </w:r>
          </w:p>
        </w:tc>
        <w:tc>
          <w:tcPr>
            <w:tcW w:w="2751" w:type="dxa"/>
            <w:noWrap w:val="0"/>
            <w:tcMar>
              <w:top w:w="0" w:type="dxa"/>
              <w:left w:w="51" w:type="dxa"/>
              <w:bottom w:w="0" w:type="dxa"/>
              <w:right w:w="51" w:type="dxa"/>
            </w:tcMar>
            <w:vAlign w:val="center"/>
          </w:tcPr>
          <w:p w14:paraId="48FA585F">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标准</w:t>
            </w:r>
            <w:r>
              <w:rPr>
                <w:rFonts w:hint="eastAsia" w:ascii="仿宋" w:hAnsi="仿宋" w:eastAsia="仿宋" w:cs="仿宋"/>
                <w:sz w:val="21"/>
                <w:szCs w:val="21"/>
                <w:highlight w:val="none"/>
                <w:lang w:val="en-US" w:eastAsia="zh-CN"/>
              </w:rPr>
              <w:t>合规性查验及值班值守管理相关内容撰写</w:t>
            </w:r>
          </w:p>
        </w:tc>
      </w:tr>
      <w:tr w14:paraId="1539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24AF8B16">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05EB14D0">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SA"/>
              </w:rPr>
              <w:t>焦心怡</w:t>
            </w:r>
          </w:p>
        </w:tc>
        <w:tc>
          <w:tcPr>
            <w:tcW w:w="3395" w:type="dxa"/>
            <w:noWrap w:val="0"/>
            <w:tcMar>
              <w:top w:w="0" w:type="dxa"/>
              <w:left w:w="51" w:type="dxa"/>
              <w:bottom w:w="0" w:type="dxa"/>
              <w:right w:w="51" w:type="dxa"/>
            </w:tcMar>
            <w:vAlign w:val="center"/>
          </w:tcPr>
          <w:p w14:paraId="05ACF0C2">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北京市科学技术研究院城市安全与环境科学研究所</w:t>
            </w:r>
          </w:p>
        </w:tc>
        <w:tc>
          <w:tcPr>
            <w:tcW w:w="2751" w:type="dxa"/>
            <w:noWrap w:val="0"/>
            <w:tcMar>
              <w:top w:w="0" w:type="dxa"/>
              <w:left w:w="51" w:type="dxa"/>
              <w:bottom w:w="0" w:type="dxa"/>
              <w:right w:w="51" w:type="dxa"/>
            </w:tcMar>
            <w:vAlign w:val="center"/>
          </w:tcPr>
          <w:p w14:paraId="06FAA1BE">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管理制度相关内容撰写</w:t>
            </w:r>
          </w:p>
        </w:tc>
      </w:tr>
      <w:tr w14:paraId="653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3D7060F1">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2448AA9C">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陈宁</w:t>
            </w:r>
          </w:p>
        </w:tc>
        <w:tc>
          <w:tcPr>
            <w:tcW w:w="3395" w:type="dxa"/>
            <w:noWrap w:val="0"/>
            <w:tcMar>
              <w:top w:w="0" w:type="dxa"/>
              <w:left w:w="51" w:type="dxa"/>
              <w:bottom w:w="0" w:type="dxa"/>
              <w:right w:w="51" w:type="dxa"/>
            </w:tcMar>
            <w:vAlign w:val="center"/>
          </w:tcPr>
          <w:p w14:paraId="66500957">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北京市科学技术研究院城市安全与环境科学研究所</w:t>
            </w:r>
          </w:p>
        </w:tc>
        <w:tc>
          <w:tcPr>
            <w:tcW w:w="2751" w:type="dxa"/>
            <w:noWrap w:val="0"/>
            <w:tcMar>
              <w:top w:w="0" w:type="dxa"/>
              <w:left w:w="51" w:type="dxa"/>
              <w:bottom w:w="0" w:type="dxa"/>
              <w:right w:w="51" w:type="dxa"/>
            </w:tcMar>
            <w:vAlign w:val="center"/>
          </w:tcPr>
          <w:p w14:paraId="38725709">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国内外文献资料分析</w:t>
            </w:r>
          </w:p>
        </w:tc>
      </w:tr>
      <w:tr w14:paraId="403A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56548384">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4FC30B55">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李恩重</w:t>
            </w:r>
          </w:p>
        </w:tc>
        <w:tc>
          <w:tcPr>
            <w:tcW w:w="3395" w:type="dxa"/>
            <w:noWrap w:val="0"/>
            <w:tcMar>
              <w:top w:w="0" w:type="dxa"/>
              <w:left w:w="51" w:type="dxa"/>
              <w:bottom w:w="0" w:type="dxa"/>
              <w:right w:w="51" w:type="dxa"/>
            </w:tcMar>
            <w:vAlign w:val="center"/>
          </w:tcPr>
          <w:p w14:paraId="283424C4">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故宫博物院标准化研究所</w:t>
            </w:r>
          </w:p>
        </w:tc>
        <w:tc>
          <w:tcPr>
            <w:tcW w:w="2751" w:type="dxa"/>
            <w:noWrap w:val="0"/>
            <w:tcMar>
              <w:top w:w="0" w:type="dxa"/>
              <w:left w:w="51" w:type="dxa"/>
              <w:bottom w:w="0" w:type="dxa"/>
              <w:right w:w="51" w:type="dxa"/>
            </w:tcMar>
            <w:vAlign w:val="center"/>
          </w:tcPr>
          <w:p w14:paraId="1E2AF3D2">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标准</w:t>
            </w:r>
            <w:r>
              <w:rPr>
                <w:rFonts w:hint="eastAsia" w:ascii="仿宋" w:hAnsi="仿宋" w:eastAsia="仿宋" w:cs="仿宋"/>
                <w:sz w:val="21"/>
                <w:szCs w:val="21"/>
                <w:highlight w:val="none"/>
                <w:lang w:val="en-US" w:eastAsia="zh-CN"/>
              </w:rPr>
              <w:t>合规性查验</w:t>
            </w:r>
          </w:p>
        </w:tc>
      </w:tr>
      <w:tr w14:paraId="28708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6631D89D">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7896386">
            <w:pPr>
              <w:snapToGrid w:val="0"/>
              <w:spacing w:line="320" w:lineRule="exact"/>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刘雨</w:t>
            </w:r>
          </w:p>
        </w:tc>
        <w:tc>
          <w:tcPr>
            <w:tcW w:w="3395" w:type="dxa"/>
            <w:shd w:val="clear" w:color="auto" w:fill="auto"/>
            <w:noWrap w:val="0"/>
            <w:tcMar>
              <w:top w:w="0" w:type="dxa"/>
              <w:left w:w="51" w:type="dxa"/>
              <w:bottom w:w="0" w:type="dxa"/>
              <w:right w:w="51" w:type="dxa"/>
            </w:tcMar>
            <w:vAlign w:val="center"/>
          </w:tcPr>
          <w:p w14:paraId="25B56455">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故宫博物院保卫处</w:t>
            </w:r>
          </w:p>
        </w:tc>
        <w:tc>
          <w:tcPr>
            <w:tcW w:w="2751" w:type="dxa"/>
            <w:shd w:val="clear" w:color="auto" w:fill="auto"/>
            <w:noWrap w:val="0"/>
            <w:tcMar>
              <w:top w:w="0" w:type="dxa"/>
              <w:left w:w="51" w:type="dxa"/>
              <w:bottom w:w="0" w:type="dxa"/>
              <w:right w:w="51" w:type="dxa"/>
            </w:tcMar>
            <w:vAlign w:val="center"/>
          </w:tcPr>
          <w:p w14:paraId="2A20646E">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安全检查相关内容撰写</w:t>
            </w:r>
          </w:p>
        </w:tc>
      </w:tr>
      <w:tr w14:paraId="26AD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545EE1BE">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5FE8BC5C">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刘增辉</w:t>
            </w:r>
          </w:p>
        </w:tc>
        <w:tc>
          <w:tcPr>
            <w:tcW w:w="3395" w:type="dxa"/>
            <w:noWrap w:val="0"/>
            <w:tcMar>
              <w:top w:w="0" w:type="dxa"/>
              <w:left w:w="51" w:type="dxa"/>
              <w:bottom w:w="0" w:type="dxa"/>
              <w:right w:w="51" w:type="dxa"/>
            </w:tcMar>
            <w:vAlign w:val="center"/>
          </w:tcPr>
          <w:p w14:paraId="3664A323">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73CB9082">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安全检查相关内容撰写</w:t>
            </w:r>
          </w:p>
        </w:tc>
      </w:tr>
      <w:tr w14:paraId="0773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4FF6557A">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04A3743">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王喆</w:t>
            </w:r>
          </w:p>
        </w:tc>
        <w:tc>
          <w:tcPr>
            <w:tcW w:w="3395" w:type="dxa"/>
            <w:noWrap w:val="0"/>
            <w:tcMar>
              <w:top w:w="0" w:type="dxa"/>
              <w:left w:w="51" w:type="dxa"/>
              <w:bottom w:w="0" w:type="dxa"/>
              <w:right w:w="51" w:type="dxa"/>
            </w:tcMar>
            <w:vAlign w:val="center"/>
          </w:tcPr>
          <w:p w14:paraId="1AE36F0B">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0B133FDB">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安全检查</w:t>
            </w:r>
            <w:r>
              <w:rPr>
                <w:rFonts w:hint="eastAsia" w:ascii="仿宋" w:hAnsi="仿宋" w:eastAsia="仿宋" w:cs="仿宋"/>
                <w:sz w:val="21"/>
                <w:szCs w:val="21"/>
                <w:highlight w:val="none"/>
              </w:rPr>
              <w:t>管理</w:t>
            </w:r>
            <w:r>
              <w:rPr>
                <w:rFonts w:hint="eastAsia" w:ascii="仿宋" w:hAnsi="仿宋" w:eastAsia="仿宋" w:cs="仿宋"/>
                <w:sz w:val="21"/>
                <w:szCs w:val="21"/>
                <w:highlight w:val="none"/>
                <w:lang w:val="en-US" w:eastAsia="zh-CN"/>
              </w:rPr>
              <w:t>相关内容撰写</w:t>
            </w:r>
          </w:p>
        </w:tc>
      </w:tr>
      <w:tr w14:paraId="348F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388DC1DF">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367ABB5B">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陈天仑</w:t>
            </w:r>
          </w:p>
        </w:tc>
        <w:tc>
          <w:tcPr>
            <w:tcW w:w="3395" w:type="dxa"/>
            <w:noWrap w:val="0"/>
            <w:tcMar>
              <w:top w:w="0" w:type="dxa"/>
              <w:left w:w="51" w:type="dxa"/>
              <w:bottom w:w="0" w:type="dxa"/>
              <w:right w:w="51" w:type="dxa"/>
            </w:tcMar>
            <w:vAlign w:val="center"/>
          </w:tcPr>
          <w:p w14:paraId="7947614B">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0095432E">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安全检查</w:t>
            </w:r>
            <w:r>
              <w:rPr>
                <w:rFonts w:hint="eastAsia" w:ascii="仿宋" w:hAnsi="仿宋" w:eastAsia="仿宋" w:cs="仿宋"/>
                <w:sz w:val="21"/>
                <w:szCs w:val="21"/>
                <w:highlight w:val="none"/>
              </w:rPr>
              <w:t>管理</w:t>
            </w:r>
            <w:r>
              <w:rPr>
                <w:rFonts w:hint="eastAsia" w:ascii="仿宋" w:hAnsi="仿宋" w:eastAsia="仿宋" w:cs="仿宋"/>
                <w:sz w:val="21"/>
                <w:szCs w:val="21"/>
                <w:highlight w:val="none"/>
                <w:lang w:val="en-US" w:eastAsia="zh-CN"/>
              </w:rPr>
              <w:t>相关内容撰写</w:t>
            </w:r>
          </w:p>
        </w:tc>
      </w:tr>
      <w:tr w14:paraId="2FFA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57276796">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1631DC96">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王情</w:t>
            </w:r>
          </w:p>
        </w:tc>
        <w:tc>
          <w:tcPr>
            <w:tcW w:w="3395" w:type="dxa"/>
            <w:noWrap w:val="0"/>
            <w:tcMar>
              <w:top w:w="0" w:type="dxa"/>
              <w:left w:w="51" w:type="dxa"/>
              <w:bottom w:w="0" w:type="dxa"/>
              <w:right w:w="51" w:type="dxa"/>
            </w:tcMar>
            <w:vAlign w:val="center"/>
          </w:tcPr>
          <w:p w14:paraId="4FAE2E4D">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72BF05E6">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管理制度相关内容撰写</w:t>
            </w:r>
          </w:p>
        </w:tc>
      </w:tr>
      <w:tr w14:paraId="4FA9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187BB309">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5EE04CDE">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崔亚强</w:t>
            </w:r>
          </w:p>
        </w:tc>
        <w:tc>
          <w:tcPr>
            <w:tcW w:w="3395" w:type="dxa"/>
            <w:noWrap w:val="0"/>
            <w:tcMar>
              <w:top w:w="0" w:type="dxa"/>
              <w:left w:w="51" w:type="dxa"/>
              <w:bottom w:w="0" w:type="dxa"/>
              <w:right w:w="51" w:type="dxa"/>
            </w:tcMar>
            <w:vAlign w:val="center"/>
          </w:tcPr>
          <w:p w14:paraId="2AE11857">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00632904">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证件管理和出入口管理</w:t>
            </w:r>
            <w:r>
              <w:rPr>
                <w:rFonts w:hint="eastAsia" w:ascii="仿宋" w:hAnsi="仿宋" w:eastAsia="仿宋" w:cs="仿宋"/>
                <w:sz w:val="21"/>
                <w:szCs w:val="21"/>
                <w:highlight w:val="none"/>
              </w:rPr>
              <w:t>员</w:t>
            </w:r>
            <w:r>
              <w:rPr>
                <w:rFonts w:hint="eastAsia" w:ascii="仿宋" w:hAnsi="仿宋" w:eastAsia="仿宋" w:cs="仿宋"/>
                <w:sz w:val="21"/>
                <w:szCs w:val="21"/>
                <w:highlight w:val="none"/>
                <w:lang w:val="en-US" w:eastAsia="zh-CN"/>
              </w:rPr>
              <w:t>相关内容撰写</w:t>
            </w:r>
          </w:p>
        </w:tc>
      </w:tr>
      <w:tr w14:paraId="2C4E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7726F021">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0F8ED5A">
            <w:pPr>
              <w:snapToGrid w:val="0"/>
              <w:spacing w:line="320" w:lineRule="exact"/>
              <w:jc w:val="center"/>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张维建</w:t>
            </w:r>
          </w:p>
        </w:tc>
        <w:tc>
          <w:tcPr>
            <w:tcW w:w="3395" w:type="dxa"/>
            <w:noWrap w:val="0"/>
            <w:tcMar>
              <w:top w:w="0" w:type="dxa"/>
              <w:left w:w="51" w:type="dxa"/>
              <w:bottom w:w="0" w:type="dxa"/>
              <w:right w:w="51" w:type="dxa"/>
            </w:tcMar>
            <w:vAlign w:val="center"/>
          </w:tcPr>
          <w:p w14:paraId="7FBD8788">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4460D5C3">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sz w:val="21"/>
                <w:szCs w:val="21"/>
                <w:highlight w:val="none"/>
                <w:lang w:val="en-US" w:eastAsia="zh-CN"/>
              </w:rPr>
              <w:t>证件管理和出入口管理</w:t>
            </w:r>
            <w:r>
              <w:rPr>
                <w:rFonts w:hint="eastAsia" w:ascii="仿宋" w:hAnsi="仿宋" w:eastAsia="仿宋" w:cs="仿宋"/>
                <w:sz w:val="21"/>
                <w:szCs w:val="21"/>
                <w:highlight w:val="none"/>
              </w:rPr>
              <w:t>员</w:t>
            </w:r>
            <w:r>
              <w:rPr>
                <w:rFonts w:hint="eastAsia" w:ascii="仿宋" w:hAnsi="仿宋" w:eastAsia="仿宋" w:cs="仿宋"/>
                <w:sz w:val="21"/>
                <w:szCs w:val="21"/>
                <w:highlight w:val="none"/>
                <w:lang w:val="en-US" w:eastAsia="zh-CN"/>
              </w:rPr>
              <w:t>相关内容撰写</w:t>
            </w:r>
          </w:p>
        </w:tc>
      </w:tr>
      <w:tr w14:paraId="5F11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62CF3EF1">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09A5D71">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房小妹</w:t>
            </w:r>
          </w:p>
        </w:tc>
        <w:tc>
          <w:tcPr>
            <w:tcW w:w="3395" w:type="dxa"/>
            <w:noWrap w:val="0"/>
            <w:tcMar>
              <w:top w:w="0" w:type="dxa"/>
              <w:left w:w="51" w:type="dxa"/>
              <w:bottom w:w="0" w:type="dxa"/>
              <w:right w:w="51" w:type="dxa"/>
            </w:tcMar>
            <w:vAlign w:val="center"/>
          </w:tcPr>
          <w:p w14:paraId="6D827B04">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故宫博物院开放管理处</w:t>
            </w:r>
          </w:p>
        </w:tc>
        <w:tc>
          <w:tcPr>
            <w:tcW w:w="2751" w:type="dxa"/>
            <w:noWrap w:val="0"/>
            <w:tcMar>
              <w:top w:w="0" w:type="dxa"/>
              <w:left w:w="51" w:type="dxa"/>
              <w:bottom w:w="0" w:type="dxa"/>
              <w:right w:w="51" w:type="dxa"/>
            </w:tcMar>
            <w:vAlign w:val="center"/>
          </w:tcPr>
          <w:p w14:paraId="1B9F9138">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开闭馆管理规范研究</w:t>
            </w:r>
          </w:p>
        </w:tc>
      </w:tr>
      <w:tr w14:paraId="5B24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5FC7F0E2">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7CCE7713">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张博辉</w:t>
            </w:r>
          </w:p>
        </w:tc>
        <w:tc>
          <w:tcPr>
            <w:tcW w:w="3395" w:type="dxa"/>
            <w:noWrap w:val="0"/>
            <w:tcMar>
              <w:top w:w="0" w:type="dxa"/>
              <w:left w:w="51" w:type="dxa"/>
              <w:bottom w:w="0" w:type="dxa"/>
              <w:right w:w="51" w:type="dxa"/>
            </w:tcMar>
            <w:vAlign w:val="center"/>
          </w:tcPr>
          <w:p w14:paraId="65AD2E01">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rPr>
              <w:t>故宫博物院开放管理处</w:t>
            </w:r>
          </w:p>
        </w:tc>
        <w:tc>
          <w:tcPr>
            <w:tcW w:w="2751" w:type="dxa"/>
            <w:noWrap w:val="0"/>
            <w:tcMar>
              <w:top w:w="0" w:type="dxa"/>
              <w:left w:w="51" w:type="dxa"/>
              <w:bottom w:w="0" w:type="dxa"/>
              <w:right w:w="51" w:type="dxa"/>
            </w:tcMar>
            <w:vAlign w:val="center"/>
          </w:tcPr>
          <w:p w14:paraId="17C8A2AC">
            <w:pPr>
              <w:snapToGrid w:val="0"/>
              <w:spacing w:line="320" w:lineRule="exact"/>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开闭馆管理相关内容撰写</w:t>
            </w:r>
          </w:p>
        </w:tc>
      </w:tr>
      <w:tr w14:paraId="24A2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6605B2C7">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3E649235">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傅中胜</w:t>
            </w:r>
          </w:p>
        </w:tc>
        <w:tc>
          <w:tcPr>
            <w:tcW w:w="3395" w:type="dxa"/>
            <w:noWrap w:val="0"/>
            <w:tcMar>
              <w:top w:w="0" w:type="dxa"/>
              <w:left w:w="51" w:type="dxa"/>
              <w:bottom w:w="0" w:type="dxa"/>
              <w:right w:w="51" w:type="dxa"/>
            </w:tcMar>
            <w:vAlign w:val="center"/>
          </w:tcPr>
          <w:p w14:paraId="7D39C731">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故宫博物院安全技术处</w:t>
            </w:r>
          </w:p>
        </w:tc>
        <w:tc>
          <w:tcPr>
            <w:tcW w:w="2751" w:type="dxa"/>
            <w:noWrap w:val="0"/>
            <w:tcMar>
              <w:top w:w="0" w:type="dxa"/>
              <w:left w:w="51" w:type="dxa"/>
              <w:bottom w:w="0" w:type="dxa"/>
              <w:right w:w="51" w:type="dxa"/>
            </w:tcMar>
            <w:vAlign w:val="center"/>
          </w:tcPr>
          <w:p w14:paraId="77FE9357">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kern w:val="2"/>
                <w:sz w:val="21"/>
                <w:szCs w:val="21"/>
                <w:highlight w:val="none"/>
                <w:lang w:val="en-US" w:eastAsia="zh-CN" w:bidi="ar-SA"/>
              </w:rPr>
              <w:t>电子防范系统管理相关内容撰写</w:t>
            </w:r>
          </w:p>
        </w:tc>
      </w:tr>
      <w:tr w14:paraId="67BB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175DC657">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15CD5FD0">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李雷</w:t>
            </w:r>
          </w:p>
        </w:tc>
        <w:tc>
          <w:tcPr>
            <w:tcW w:w="3395" w:type="dxa"/>
            <w:noWrap w:val="0"/>
            <w:tcMar>
              <w:top w:w="0" w:type="dxa"/>
              <w:left w:w="51" w:type="dxa"/>
              <w:bottom w:w="0" w:type="dxa"/>
              <w:right w:w="51" w:type="dxa"/>
            </w:tcMar>
            <w:vAlign w:val="center"/>
          </w:tcPr>
          <w:p w14:paraId="396D3FC4">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故宫博物院安全消防处</w:t>
            </w:r>
          </w:p>
        </w:tc>
        <w:tc>
          <w:tcPr>
            <w:tcW w:w="2751" w:type="dxa"/>
            <w:noWrap w:val="0"/>
            <w:tcMar>
              <w:top w:w="0" w:type="dxa"/>
              <w:left w:w="51" w:type="dxa"/>
              <w:bottom w:w="0" w:type="dxa"/>
              <w:right w:w="51" w:type="dxa"/>
            </w:tcMar>
            <w:vAlign w:val="center"/>
          </w:tcPr>
          <w:p w14:paraId="2C81C08E">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lang w:val="en-US" w:eastAsia="zh-CN"/>
              </w:rPr>
              <w:t>现有标准及法规制度分析</w:t>
            </w:r>
          </w:p>
        </w:tc>
      </w:tr>
      <w:tr w14:paraId="10CB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681" w:type="dxa"/>
            <w:noWrap w:val="0"/>
            <w:vAlign w:val="center"/>
          </w:tcPr>
          <w:p w14:paraId="2E18E93A">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4C95EE5">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战恒彬</w:t>
            </w:r>
          </w:p>
        </w:tc>
        <w:tc>
          <w:tcPr>
            <w:tcW w:w="3395" w:type="dxa"/>
            <w:noWrap w:val="0"/>
            <w:tcMar>
              <w:top w:w="0" w:type="dxa"/>
              <w:left w:w="51" w:type="dxa"/>
              <w:bottom w:w="0" w:type="dxa"/>
              <w:right w:w="51" w:type="dxa"/>
            </w:tcMar>
            <w:vAlign w:val="center"/>
          </w:tcPr>
          <w:p w14:paraId="7131DEE6">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故宫博物院开放管理处</w:t>
            </w:r>
          </w:p>
        </w:tc>
        <w:tc>
          <w:tcPr>
            <w:tcW w:w="2751" w:type="dxa"/>
            <w:noWrap w:val="0"/>
            <w:tcMar>
              <w:top w:w="0" w:type="dxa"/>
              <w:left w:w="51" w:type="dxa"/>
              <w:bottom w:w="0" w:type="dxa"/>
              <w:right w:w="51" w:type="dxa"/>
            </w:tcMar>
            <w:vAlign w:val="center"/>
          </w:tcPr>
          <w:p w14:paraId="353DF59D">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开闭馆管理相关内容撰写</w:t>
            </w:r>
          </w:p>
        </w:tc>
      </w:tr>
      <w:tr w14:paraId="47AA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6580742F">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4805ABEA">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蔡迟迟</w:t>
            </w:r>
          </w:p>
        </w:tc>
        <w:tc>
          <w:tcPr>
            <w:tcW w:w="3395" w:type="dxa"/>
            <w:noWrap w:val="0"/>
            <w:tcMar>
              <w:top w:w="0" w:type="dxa"/>
              <w:left w:w="51" w:type="dxa"/>
              <w:bottom w:w="0" w:type="dxa"/>
              <w:right w:w="51" w:type="dxa"/>
            </w:tcMar>
            <w:vAlign w:val="center"/>
          </w:tcPr>
          <w:p w14:paraId="0C600A06">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福建石狮文化旅游发展集团有限责任公司</w:t>
            </w:r>
          </w:p>
        </w:tc>
        <w:tc>
          <w:tcPr>
            <w:tcW w:w="2751" w:type="dxa"/>
            <w:noWrap w:val="0"/>
            <w:tcMar>
              <w:top w:w="0" w:type="dxa"/>
              <w:left w:w="51" w:type="dxa"/>
              <w:bottom w:w="0" w:type="dxa"/>
              <w:right w:w="51" w:type="dxa"/>
            </w:tcMar>
            <w:vAlign w:val="center"/>
          </w:tcPr>
          <w:p w14:paraId="3F61F836">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临时性活动安全监管</w:t>
            </w:r>
            <w:r>
              <w:rPr>
                <w:rFonts w:hint="eastAsia" w:ascii="仿宋" w:hAnsi="仿宋" w:eastAsia="仿宋" w:cs="仿宋"/>
                <w:color w:val="000000"/>
                <w:sz w:val="21"/>
                <w:szCs w:val="21"/>
                <w:highlight w:val="none"/>
                <w:lang w:val="en-US" w:eastAsia="zh-CN"/>
              </w:rPr>
              <w:t>相关内容撰写</w:t>
            </w:r>
          </w:p>
        </w:tc>
      </w:tr>
      <w:tr w14:paraId="60CD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681" w:type="dxa"/>
            <w:noWrap w:val="0"/>
            <w:vAlign w:val="center"/>
          </w:tcPr>
          <w:p w14:paraId="41D05533">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20EC6C1C">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武士涛</w:t>
            </w:r>
          </w:p>
        </w:tc>
        <w:tc>
          <w:tcPr>
            <w:tcW w:w="3395" w:type="dxa"/>
            <w:noWrap w:val="0"/>
            <w:tcMar>
              <w:top w:w="0" w:type="dxa"/>
              <w:left w:w="51" w:type="dxa"/>
              <w:bottom w:w="0" w:type="dxa"/>
              <w:right w:w="51" w:type="dxa"/>
            </w:tcMar>
            <w:vAlign w:val="center"/>
          </w:tcPr>
          <w:p w14:paraId="00107273">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646418D8">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sz w:val="21"/>
                <w:szCs w:val="21"/>
                <w:highlight w:val="none"/>
                <w:lang w:val="en-US" w:eastAsia="zh-CN"/>
              </w:rPr>
              <w:t>钥匙和门锁相关内容撰写</w:t>
            </w:r>
          </w:p>
        </w:tc>
      </w:tr>
      <w:tr w14:paraId="0E99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681" w:type="dxa"/>
            <w:noWrap w:val="0"/>
            <w:vAlign w:val="center"/>
          </w:tcPr>
          <w:p w14:paraId="6F036A3F">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3EDE41C3">
            <w:pPr>
              <w:snapToGrid w:val="0"/>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王昕</w:t>
            </w:r>
          </w:p>
        </w:tc>
        <w:tc>
          <w:tcPr>
            <w:tcW w:w="3395" w:type="dxa"/>
            <w:noWrap w:val="0"/>
            <w:tcMar>
              <w:top w:w="0" w:type="dxa"/>
              <w:left w:w="51" w:type="dxa"/>
              <w:bottom w:w="0" w:type="dxa"/>
              <w:right w:w="51" w:type="dxa"/>
            </w:tcMar>
            <w:vAlign w:val="center"/>
          </w:tcPr>
          <w:p w14:paraId="5FB8A3EB">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1BEACB67">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lang w:val="en-US" w:eastAsia="zh-CN"/>
              </w:rPr>
              <w:t>安全检查</w:t>
            </w:r>
            <w:r>
              <w:rPr>
                <w:rFonts w:hint="eastAsia" w:ascii="仿宋" w:hAnsi="仿宋" w:eastAsia="仿宋" w:cs="仿宋"/>
                <w:sz w:val="21"/>
                <w:szCs w:val="21"/>
                <w:highlight w:val="none"/>
              </w:rPr>
              <w:t>管理</w:t>
            </w:r>
            <w:r>
              <w:rPr>
                <w:rFonts w:hint="eastAsia" w:ascii="仿宋" w:hAnsi="仿宋" w:eastAsia="仿宋" w:cs="仿宋"/>
                <w:sz w:val="21"/>
                <w:szCs w:val="21"/>
                <w:highlight w:val="none"/>
                <w:lang w:val="en-US" w:eastAsia="zh-CN"/>
              </w:rPr>
              <w:t>相关内容撰写</w:t>
            </w:r>
          </w:p>
        </w:tc>
      </w:tr>
      <w:tr w14:paraId="0FCC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81" w:type="dxa"/>
            <w:noWrap w:val="0"/>
            <w:vAlign w:val="center"/>
          </w:tcPr>
          <w:p w14:paraId="5EF78374">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30FD3187">
            <w:pPr>
              <w:snapToGrid w:val="0"/>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祁琳</w:t>
            </w:r>
          </w:p>
        </w:tc>
        <w:tc>
          <w:tcPr>
            <w:tcW w:w="3395" w:type="dxa"/>
            <w:noWrap w:val="0"/>
            <w:tcMar>
              <w:top w:w="0" w:type="dxa"/>
              <w:left w:w="51" w:type="dxa"/>
              <w:bottom w:w="0" w:type="dxa"/>
              <w:right w:w="51" w:type="dxa"/>
            </w:tcMar>
            <w:vAlign w:val="center"/>
          </w:tcPr>
          <w:p w14:paraId="57F6107B">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06F9D905">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sz w:val="21"/>
                <w:szCs w:val="21"/>
                <w:highlight w:val="none"/>
                <w:lang w:val="en-US" w:eastAsia="zh-CN"/>
              </w:rPr>
              <w:t>值班值守管理相关内容撰写</w:t>
            </w:r>
          </w:p>
        </w:tc>
      </w:tr>
      <w:tr w14:paraId="204C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681" w:type="dxa"/>
            <w:noWrap w:val="0"/>
            <w:vAlign w:val="center"/>
          </w:tcPr>
          <w:p w14:paraId="4257A3EB">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52FEB8A5">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杨思柔</w:t>
            </w:r>
          </w:p>
        </w:tc>
        <w:tc>
          <w:tcPr>
            <w:tcW w:w="3395" w:type="dxa"/>
            <w:noWrap w:val="0"/>
            <w:tcMar>
              <w:top w:w="0" w:type="dxa"/>
              <w:left w:w="51" w:type="dxa"/>
              <w:bottom w:w="0" w:type="dxa"/>
              <w:right w:w="51" w:type="dxa"/>
            </w:tcMar>
            <w:vAlign w:val="center"/>
          </w:tcPr>
          <w:p w14:paraId="31A86A46">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7FE647D7">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证件管理相关内容撰写</w:t>
            </w:r>
          </w:p>
        </w:tc>
      </w:tr>
      <w:tr w14:paraId="2872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681" w:type="dxa"/>
            <w:noWrap w:val="0"/>
            <w:vAlign w:val="center"/>
          </w:tcPr>
          <w:p w14:paraId="3A208651">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77A6FD72">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杨涛</w:t>
            </w:r>
          </w:p>
        </w:tc>
        <w:tc>
          <w:tcPr>
            <w:tcW w:w="3395" w:type="dxa"/>
            <w:noWrap w:val="0"/>
            <w:tcMar>
              <w:top w:w="0" w:type="dxa"/>
              <w:left w:w="51" w:type="dxa"/>
              <w:bottom w:w="0" w:type="dxa"/>
              <w:right w:w="51" w:type="dxa"/>
            </w:tcMar>
            <w:vAlign w:val="center"/>
          </w:tcPr>
          <w:p w14:paraId="06141AB5">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42F42D6D">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证件管理相关内容撰写</w:t>
            </w:r>
          </w:p>
        </w:tc>
      </w:tr>
      <w:tr w14:paraId="2DFD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681" w:type="dxa"/>
            <w:noWrap w:val="0"/>
            <w:vAlign w:val="center"/>
          </w:tcPr>
          <w:p w14:paraId="3EC3B824">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0EB7D3C2">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王少鹏</w:t>
            </w:r>
          </w:p>
        </w:tc>
        <w:tc>
          <w:tcPr>
            <w:tcW w:w="3395" w:type="dxa"/>
            <w:noWrap w:val="0"/>
            <w:tcMar>
              <w:top w:w="0" w:type="dxa"/>
              <w:left w:w="51" w:type="dxa"/>
              <w:bottom w:w="0" w:type="dxa"/>
              <w:right w:w="51" w:type="dxa"/>
            </w:tcMar>
            <w:vAlign w:val="center"/>
          </w:tcPr>
          <w:p w14:paraId="04FA2E90">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0D545F80">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证件管理相关内容撰写</w:t>
            </w:r>
          </w:p>
        </w:tc>
      </w:tr>
      <w:tr w14:paraId="3E8C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681" w:type="dxa"/>
            <w:noWrap w:val="0"/>
            <w:vAlign w:val="center"/>
          </w:tcPr>
          <w:p w14:paraId="2A285252">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659262A3">
            <w:pPr>
              <w:snapToGrid w:val="0"/>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高远</w:t>
            </w:r>
          </w:p>
        </w:tc>
        <w:tc>
          <w:tcPr>
            <w:tcW w:w="3395" w:type="dxa"/>
            <w:noWrap w:val="0"/>
            <w:tcMar>
              <w:top w:w="0" w:type="dxa"/>
              <w:left w:w="51" w:type="dxa"/>
              <w:bottom w:w="0" w:type="dxa"/>
              <w:right w:w="51" w:type="dxa"/>
            </w:tcMar>
            <w:vAlign w:val="center"/>
          </w:tcPr>
          <w:p w14:paraId="262DD15A">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15EB1430">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sz w:val="21"/>
                <w:szCs w:val="21"/>
                <w:highlight w:val="none"/>
                <w:lang w:val="en-US" w:eastAsia="zh-CN"/>
              </w:rPr>
              <w:t>重点部位管理相关内容撰写</w:t>
            </w:r>
          </w:p>
        </w:tc>
      </w:tr>
      <w:tr w14:paraId="499ED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681" w:type="dxa"/>
            <w:noWrap w:val="0"/>
            <w:vAlign w:val="center"/>
          </w:tcPr>
          <w:p w14:paraId="08D65B15">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24BF22A2">
            <w:pPr>
              <w:snapToGrid w:val="0"/>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白金</w:t>
            </w:r>
          </w:p>
        </w:tc>
        <w:tc>
          <w:tcPr>
            <w:tcW w:w="3395" w:type="dxa"/>
            <w:noWrap w:val="0"/>
            <w:tcMar>
              <w:top w:w="0" w:type="dxa"/>
              <w:left w:w="51" w:type="dxa"/>
              <w:bottom w:w="0" w:type="dxa"/>
              <w:right w:w="51" w:type="dxa"/>
            </w:tcMar>
            <w:vAlign w:val="center"/>
          </w:tcPr>
          <w:p w14:paraId="111B1860">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5A35568E">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eastAsia="zh-CN"/>
              </w:rPr>
              <w:t>布撤展安全管理</w:t>
            </w:r>
            <w:r>
              <w:rPr>
                <w:rFonts w:hint="eastAsia" w:ascii="仿宋" w:hAnsi="仿宋" w:eastAsia="仿宋" w:cs="仿宋"/>
                <w:color w:val="000000"/>
                <w:sz w:val="21"/>
                <w:szCs w:val="21"/>
                <w:highlight w:val="none"/>
                <w:lang w:val="en-US" w:eastAsia="zh-CN"/>
              </w:rPr>
              <w:t>相关内容撰写</w:t>
            </w:r>
          </w:p>
        </w:tc>
      </w:tr>
      <w:tr w14:paraId="2889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681" w:type="dxa"/>
            <w:noWrap w:val="0"/>
            <w:vAlign w:val="center"/>
          </w:tcPr>
          <w:p w14:paraId="4677CBEA">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59F4A04C">
            <w:pPr>
              <w:snapToGrid w:val="0"/>
              <w:spacing w:line="32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顾嘉琦</w:t>
            </w:r>
          </w:p>
        </w:tc>
        <w:tc>
          <w:tcPr>
            <w:tcW w:w="3395" w:type="dxa"/>
            <w:noWrap w:val="0"/>
            <w:tcMar>
              <w:top w:w="0" w:type="dxa"/>
              <w:left w:w="51" w:type="dxa"/>
              <w:bottom w:w="0" w:type="dxa"/>
              <w:right w:w="51" w:type="dxa"/>
            </w:tcMar>
            <w:vAlign w:val="center"/>
          </w:tcPr>
          <w:p w14:paraId="534BA14D">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故宫博物院保卫处</w:t>
            </w:r>
          </w:p>
        </w:tc>
        <w:tc>
          <w:tcPr>
            <w:tcW w:w="2751" w:type="dxa"/>
            <w:noWrap w:val="0"/>
            <w:tcMar>
              <w:top w:w="0" w:type="dxa"/>
              <w:left w:w="51" w:type="dxa"/>
              <w:bottom w:w="0" w:type="dxa"/>
              <w:right w:w="51" w:type="dxa"/>
            </w:tcMar>
            <w:vAlign w:val="center"/>
          </w:tcPr>
          <w:p w14:paraId="5571C59F">
            <w:pPr>
              <w:snapToGrid w:val="0"/>
              <w:spacing w:line="320" w:lineRule="exact"/>
              <w:jc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临时性活动安全监管</w:t>
            </w:r>
            <w:r>
              <w:rPr>
                <w:rFonts w:hint="eastAsia" w:ascii="仿宋" w:hAnsi="仿宋" w:eastAsia="仿宋" w:cs="仿宋"/>
                <w:color w:val="000000"/>
                <w:sz w:val="21"/>
                <w:szCs w:val="21"/>
                <w:highlight w:val="none"/>
                <w:lang w:val="en-US" w:eastAsia="zh-CN"/>
              </w:rPr>
              <w:t>相关内容撰写</w:t>
            </w:r>
          </w:p>
        </w:tc>
      </w:tr>
      <w:tr w14:paraId="3251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81" w:type="dxa"/>
            <w:noWrap w:val="0"/>
            <w:vAlign w:val="center"/>
          </w:tcPr>
          <w:p w14:paraId="15347087">
            <w:pPr>
              <w:numPr>
                <w:ilvl w:val="0"/>
                <w:numId w:val="2"/>
              </w:numPr>
              <w:snapToGrid w:val="0"/>
              <w:spacing w:line="320" w:lineRule="exact"/>
              <w:jc w:val="center"/>
              <w:rPr>
                <w:rFonts w:hint="eastAsia" w:ascii="仿宋" w:hAnsi="仿宋" w:eastAsia="仿宋" w:cs="仿宋"/>
                <w:sz w:val="21"/>
                <w:szCs w:val="21"/>
                <w:highlight w:val="none"/>
              </w:rPr>
            </w:pPr>
          </w:p>
        </w:tc>
        <w:tc>
          <w:tcPr>
            <w:tcW w:w="1350" w:type="dxa"/>
            <w:noWrap w:val="0"/>
            <w:vAlign w:val="center"/>
          </w:tcPr>
          <w:p w14:paraId="11093A6A">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赵建宜</w:t>
            </w:r>
          </w:p>
        </w:tc>
        <w:tc>
          <w:tcPr>
            <w:tcW w:w="3395" w:type="dxa"/>
            <w:noWrap w:val="0"/>
            <w:tcMar>
              <w:top w:w="0" w:type="dxa"/>
              <w:left w:w="51" w:type="dxa"/>
              <w:bottom w:w="0" w:type="dxa"/>
              <w:right w:w="51" w:type="dxa"/>
            </w:tcMar>
            <w:vAlign w:val="center"/>
          </w:tcPr>
          <w:p w14:paraId="191114B8">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sz w:val="21"/>
                <w:szCs w:val="21"/>
                <w:highlight w:val="none"/>
              </w:rPr>
              <w:t>故宫博物院</w:t>
            </w:r>
            <w:r>
              <w:rPr>
                <w:rFonts w:hint="eastAsia" w:ascii="仿宋" w:hAnsi="仿宋" w:eastAsia="仿宋" w:cs="仿宋"/>
                <w:sz w:val="21"/>
                <w:szCs w:val="21"/>
                <w:highlight w:val="none"/>
                <w:lang w:val="en-US" w:eastAsia="zh-CN"/>
              </w:rPr>
              <w:t>消防</w:t>
            </w:r>
            <w:r>
              <w:rPr>
                <w:rFonts w:hint="eastAsia" w:ascii="仿宋" w:hAnsi="仿宋" w:eastAsia="仿宋" w:cs="仿宋"/>
                <w:sz w:val="21"/>
                <w:szCs w:val="21"/>
                <w:highlight w:val="none"/>
              </w:rPr>
              <w:t>处</w:t>
            </w:r>
          </w:p>
        </w:tc>
        <w:tc>
          <w:tcPr>
            <w:tcW w:w="2751" w:type="dxa"/>
            <w:noWrap w:val="0"/>
            <w:tcMar>
              <w:top w:w="0" w:type="dxa"/>
              <w:left w:w="51" w:type="dxa"/>
              <w:bottom w:w="0" w:type="dxa"/>
              <w:right w:w="51" w:type="dxa"/>
            </w:tcMar>
            <w:vAlign w:val="center"/>
          </w:tcPr>
          <w:p w14:paraId="029CD0F2">
            <w:pPr>
              <w:snapToGrid w:val="0"/>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临时性活动安全监管</w:t>
            </w:r>
            <w:r>
              <w:rPr>
                <w:rFonts w:hint="eastAsia" w:ascii="仿宋" w:hAnsi="仿宋" w:eastAsia="仿宋" w:cs="仿宋"/>
                <w:color w:val="000000"/>
                <w:sz w:val="21"/>
                <w:szCs w:val="21"/>
                <w:highlight w:val="none"/>
                <w:lang w:val="en-US" w:eastAsia="zh-CN"/>
              </w:rPr>
              <w:t>相关内容撰写</w:t>
            </w:r>
          </w:p>
        </w:tc>
      </w:tr>
    </w:tbl>
    <w:p w14:paraId="4C8909A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default" w:ascii="仿宋" w:hAnsi="仿宋" w:eastAsia="仿宋" w:cs="仿宋"/>
          <w:sz w:val="24"/>
          <w:szCs w:val="24"/>
          <w:shd w:val="clear" w:color="auto" w:fill="FFFFFF"/>
          <w:lang w:val="en-US" w:eastAsia="en-US"/>
        </w:rPr>
        <w:t>202</w:t>
      </w:r>
      <w:r>
        <w:rPr>
          <w:rFonts w:hint="eastAsia" w:ascii="仿宋" w:hAnsi="仿宋" w:eastAsia="仿宋" w:cs="仿宋"/>
          <w:sz w:val="24"/>
          <w:szCs w:val="24"/>
          <w:shd w:val="clear" w:color="auto" w:fill="FFFFFF"/>
          <w:lang w:val="en-US" w:eastAsia="zh-CN"/>
        </w:rPr>
        <w:t>5</w:t>
      </w:r>
      <w:r>
        <w:rPr>
          <w:rFonts w:hint="default" w:ascii="仿宋" w:hAnsi="仿宋" w:eastAsia="仿宋" w:cs="仿宋"/>
          <w:sz w:val="24"/>
          <w:szCs w:val="24"/>
          <w:shd w:val="clear" w:color="auto" w:fill="FFFFFF"/>
          <w:lang w:val="en-US" w:eastAsia="en-US"/>
        </w:rPr>
        <w:t>年</w:t>
      </w:r>
      <w:r>
        <w:rPr>
          <w:rFonts w:hint="eastAsia" w:ascii="仿宋" w:hAnsi="仿宋" w:eastAsia="仿宋" w:cs="仿宋"/>
          <w:sz w:val="24"/>
          <w:szCs w:val="24"/>
          <w:shd w:val="clear" w:color="auto" w:fill="FFFFFF"/>
          <w:lang w:val="en-US" w:eastAsia="zh-CN"/>
        </w:rPr>
        <w:t>8</w:t>
      </w:r>
      <w:r>
        <w:rPr>
          <w:rFonts w:hint="default" w:ascii="仿宋" w:hAnsi="仿宋" w:eastAsia="仿宋" w:cs="仿宋"/>
          <w:sz w:val="24"/>
          <w:szCs w:val="24"/>
          <w:shd w:val="clear" w:color="auto" w:fill="FFFFFF"/>
          <w:lang w:val="en-US" w:eastAsia="en-US"/>
        </w:rPr>
        <w:t>月至202</w:t>
      </w:r>
      <w:r>
        <w:rPr>
          <w:rFonts w:hint="eastAsia" w:ascii="仿宋" w:hAnsi="仿宋" w:eastAsia="仿宋" w:cs="仿宋"/>
          <w:sz w:val="24"/>
          <w:szCs w:val="24"/>
          <w:shd w:val="clear" w:color="auto" w:fill="FFFFFF"/>
          <w:lang w:val="en-US" w:eastAsia="zh-CN"/>
        </w:rPr>
        <w:t>5</w:t>
      </w:r>
      <w:r>
        <w:rPr>
          <w:rFonts w:hint="default" w:ascii="仿宋" w:hAnsi="仿宋" w:eastAsia="仿宋" w:cs="仿宋"/>
          <w:sz w:val="24"/>
          <w:szCs w:val="24"/>
          <w:shd w:val="clear" w:color="auto" w:fill="FFFFFF"/>
          <w:lang w:val="en-US" w:eastAsia="en-US"/>
        </w:rPr>
        <w:t>年</w:t>
      </w:r>
      <w:r>
        <w:rPr>
          <w:rFonts w:hint="eastAsia" w:ascii="仿宋" w:hAnsi="仿宋" w:eastAsia="仿宋" w:cs="仿宋"/>
          <w:sz w:val="24"/>
          <w:szCs w:val="24"/>
          <w:shd w:val="clear" w:color="auto" w:fill="FFFFFF"/>
          <w:lang w:val="en-US" w:eastAsia="zh-CN"/>
        </w:rPr>
        <w:t>11</w:t>
      </w:r>
      <w:r>
        <w:rPr>
          <w:rFonts w:hint="default" w:ascii="仿宋" w:hAnsi="仿宋" w:eastAsia="仿宋" w:cs="仿宋"/>
          <w:sz w:val="24"/>
          <w:szCs w:val="24"/>
          <w:shd w:val="clear" w:color="auto" w:fill="FFFFFF"/>
          <w:lang w:val="en-US" w:eastAsia="en-US"/>
        </w:rPr>
        <w:t>月，</w:t>
      </w:r>
      <w:r>
        <w:rPr>
          <w:rFonts w:hint="eastAsia" w:ascii="仿宋" w:hAnsi="仿宋" w:eastAsia="仿宋" w:cs="仿宋"/>
          <w:sz w:val="24"/>
          <w:szCs w:val="24"/>
          <w:shd w:val="clear" w:color="auto" w:fill="FFFFFF"/>
          <w:lang w:val="en-US" w:eastAsia="zh-CN"/>
        </w:rPr>
        <w:t>标准起草组</w:t>
      </w:r>
      <w:r>
        <w:rPr>
          <w:rFonts w:hint="default" w:ascii="仿宋" w:hAnsi="仿宋" w:eastAsia="仿宋" w:cs="仿宋"/>
          <w:sz w:val="24"/>
          <w:szCs w:val="24"/>
          <w:shd w:val="clear" w:color="auto" w:fill="FFFFFF"/>
          <w:lang w:val="en-US" w:eastAsia="zh-CN"/>
        </w:rPr>
        <w:t>多次召开交流会等，</w:t>
      </w:r>
      <w:r>
        <w:rPr>
          <w:rFonts w:hint="eastAsia" w:ascii="仿宋" w:hAnsi="仿宋" w:eastAsia="仿宋" w:cs="仿宋"/>
          <w:sz w:val="24"/>
          <w:szCs w:val="24"/>
          <w:shd w:val="clear" w:color="auto" w:fill="FFFFFF"/>
          <w:lang w:val="en-US" w:eastAsia="zh-CN"/>
        </w:rPr>
        <w:t>深入研究分析最近法规标准和政策文件，对前期调研形成的31家博物馆的调研记录及其在机构人员、技防管理、重点部位、活动管理、事件处置等方面的现状和问题进行研讨。基于当前博物馆行业面临的从“依靠型管理”向“自主型管理”的变迁路径不清晰、工作规范化和精细化水平亟须进一步提升、技术防范系统的全生命周期管理需要进一步统筹等问题，按照“管什么”－“谁来管”－“怎么管”的技术路线，聚焦实际管理需求，坚持管理逻辑一致，引入管理体系和风险管理理念，突出全员参与、过程控制、持续改进的原则，通过开展博物馆管理对象和业务类型解析、安全保卫管理主要威胁及等级分析、安全保卫管理体系及关键要素设计，对博物馆安全保卫管理机构与人员、管理制度、开闭馆管理、出入口管理、巡查检查、值班值守等工作规范进行具体研究和规则细化，完成《博物馆安全保卫管理规范》草案更新版和配套文件。</w:t>
      </w:r>
    </w:p>
    <w:p w14:paraId="3A9270C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 w:hAnsi="仿宋" w:eastAsia="仿宋" w:cs="仿宋"/>
          <w:sz w:val="24"/>
          <w:szCs w:val="24"/>
          <w:highlight w:val="none"/>
          <w:shd w:val="clear" w:color="auto" w:fill="FFFFFF"/>
          <w:lang w:val="en-US" w:eastAsia="zh-CN"/>
        </w:rPr>
      </w:pPr>
      <w:r>
        <w:rPr>
          <w:rFonts w:hint="eastAsia" w:ascii="仿宋" w:hAnsi="仿宋" w:eastAsia="仿宋" w:cs="仿宋"/>
          <w:sz w:val="24"/>
          <w:szCs w:val="24"/>
          <w:highlight w:val="none"/>
          <w:shd w:val="clear" w:color="auto" w:fill="FFFFFF"/>
          <w:lang w:val="en-US" w:eastAsia="zh-CN"/>
        </w:rPr>
        <w:t>2025年12月8日标准起草组召开了全体会议，并邀请了</w:t>
      </w:r>
      <w:r>
        <w:rPr>
          <w:rFonts w:ascii="Times New Roman" w:hAnsi="Times New Roman" w:eastAsia="仿宋" w:cs="Times New Roman"/>
          <w:color w:val="000000"/>
          <w:sz w:val="24"/>
          <w:szCs w:val="24"/>
          <w:highlight w:val="none"/>
        </w:rPr>
        <w:t>国家文物局</w:t>
      </w:r>
      <w:r>
        <w:rPr>
          <w:rFonts w:hint="eastAsia" w:ascii="Times New Roman" w:hAnsi="Times New Roman" w:eastAsia="仿宋" w:cs="Times New Roman"/>
          <w:color w:val="000000"/>
          <w:sz w:val="24"/>
          <w:szCs w:val="24"/>
          <w:highlight w:val="none"/>
          <w:lang w:val="en-US" w:eastAsia="zh-CN"/>
        </w:rPr>
        <w:t>标准处</w:t>
      </w:r>
      <w:r>
        <w:rPr>
          <w:rFonts w:ascii="Times New Roman" w:hAnsi="Times New Roman" w:eastAsia="仿宋" w:cs="Times New Roman"/>
          <w:color w:val="000000"/>
          <w:sz w:val="24"/>
          <w:szCs w:val="24"/>
          <w:highlight w:val="none"/>
        </w:rPr>
        <w:t>、</w:t>
      </w:r>
      <w:r>
        <w:rPr>
          <w:rFonts w:hint="eastAsia" w:ascii="Times New Roman" w:hAnsi="Times New Roman" w:eastAsia="仿宋" w:cs="Times New Roman"/>
          <w:color w:val="000000"/>
          <w:sz w:val="24"/>
          <w:szCs w:val="24"/>
          <w:highlight w:val="none"/>
          <w:lang w:val="en-US" w:eastAsia="zh-CN"/>
        </w:rPr>
        <w:t>文标委秘书处相关领导，以及海关博物馆、重庆体育博物馆相关专家，大家就层次结构、规范性要素的构成等内容进行了详细讨论并形成了会议纪要。起草组根据会议讨论结果对标准内容进行了再次完善和优化。</w:t>
      </w:r>
    </w:p>
    <w:p w14:paraId="38D1E79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 w:hAnsi="仿宋" w:eastAsia="仿宋" w:cs="仿宋"/>
          <w:sz w:val="24"/>
          <w:szCs w:val="24"/>
          <w:highlight w:val="none"/>
          <w:shd w:val="clear" w:color="auto" w:fill="FFFFFF"/>
          <w:lang w:val="en-US" w:eastAsia="zh-CN"/>
        </w:rPr>
      </w:pPr>
      <w:r>
        <w:rPr>
          <w:rFonts w:hint="eastAsia" w:ascii="仿宋" w:hAnsi="仿宋" w:eastAsia="仿宋" w:cs="仿宋"/>
          <w:sz w:val="24"/>
          <w:szCs w:val="24"/>
          <w:highlight w:val="none"/>
          <w:shd w:val="clear" w:color="auto" w:fill="FFFFFF"/>
          <w:lang w:val="en-US" w:eastAsia="zh-CN"/>
        </w:rPr>
        <w:t>2025年12月15日标准起草组再次组织召开了全体会议，并邀请了国家文物局标准处周高亮处长、文标委秘书处周源清高级工程师</w:t>
      </w:r>
      <w:r>
        <w:rPr>
          <w:rFonts w:hint="eastAsia" w:ascii="Times New Roman" w:hAnsi="Times New Roman" w:eastAsia="仿宋" w:cs="Times New Roman"/>
          <w:color w:val="000000"/>
          <w:sz w:val="24"/>
          <w:szCs w:val="24"/>
          <w:highlight w:val="none"/>
          <w:lang w:eastAsia="zh-CN"/>
        </w:rPr>
        <w:t>、</w:t>
      </w:r>
      <w:r>
        <w:rPr>
          <w:rFonts w:hint="eastAsia" w:ascii="Times New Roman" w:hAnsi="Times New Roman" w:eastAsia="仿宋" w:cs="Times New Roman"/>
          <w:color w:val="000000"/>
          <w:sz w:val="24"/>
          <w:szCs w:val="24"/>
          <w:highlight w:val="none"/>
          <w:lang w:val="en-US" w:eastAsia="zh-CN"/>
        </w:rPr>
        <w:t>安徽博物院雷修佛院长、常州市金坛区博物馆曹继东馆长等相关单位代表参加，就标准的技术内容逐条进行了研讨，并对编制说明、拟征求意见对象名单等内审会使用的材料进行了讨论，形成了会议纪要。起草组根据会议讨论结果对相关文件进行了调整和完善。</w:t>
      </w:r>
    </w:p>
    <w:p w14:paraId="34B57732">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sz w:val="24"/>
          <w:szCs w:val="24"/>
          <w:shd w:val="clear" w:color="auto" w:fill="FFFFFF"/>
          <w:lang w:val="en-US" w:eastAsia="zh-CN"/>
        </w:rPr>
      </w:pPr>
      <w:r>
        <w:rPr>
          <w:rFonts w:hint="eastAsia" w:ascii="仿宋" w:hAnsi="仿宋" w:eastAsia="仿宋" w:cs="仿宋"/>
          <w:b/>
          <w:bCs/>
          <w:sz w:val="24"/>
          <w:szCs w:val="24"/>
          <w:shd w:val="clear" w:color="auto" w:fill="FFFFFF"/>
          <w:lang w:val="en-US" w:eastAsia="zh-CN"/>
        </w:rPr>
        <w:t>内审阶段</w:t>
      </w:r>
    </w:p>
    <w:p w14:paraId="7C2180B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 w:hAnsi="仿宋" w:eastAsia="仿宋" w:cs="仿宋"/>
          <w:sz w:val="24"/>
          <w:szCs w:val="24"/>
          <w:highlight w:val="yellow"/>
          <w:shd w:val="clear" w:color="auto" w:fill="FFFFFF"/>
          <w:lang w:val="en-US" w:eastAsia="zh-CN"/>
        </w:rPr>
      </w:pPr>
      <w:r>
        <w:rPr>
          <w:rFonts w:hint="eastAsia" w:ascii="仿宋" w:hAnsi="仿宋" w:eastAsia="仿宋" w:cs="仿宋"/>
          <w:sz w:val="24"/>
          <w:szCs w:val="24"/>
          <w:highlight w:val="none"/>
          <w:shd w:val="clear" w:color="auto" w:fill="FFFFFF"/>
          <w:lang w:val="en-US" w:eastAsia="zh-CN"/>
        </w:rPr>
        <w:t>2025年12月19日，标准起草工作组组织召开内审会，邀请上海博物馆吴来明研究馆员、敦煌研究院陈港泉研究馆员、陕西兵马俑博物馆周萍研究馆员、陕西历史博物馆路智勇研究馆员、上海大学黄继忠研究员、北京科技大学李秀辉研究员、中国标准化协会段彦芳高级工程师对标准进行论证；同时邀请国家文物局科技教育司标准与信息化处周高亮、国家文物局督察司安全监管一处刘柏良和侯冉冉、中国文化遗产研究院张源清参会。内审评审通过后，起草组根据专家意见进一步完善优化了标准文本，形成标准征求意见稿。</w:t>
      </w:r>
    </w:p>
    <w:p w14:paraId="102B40A5">
      <w:pPr>
        <w:widowControl/>
        <w:spacing w:before="120" w:beforeLines="50" w:after="120" w:afterLines="50" w:line="400" w:lineRule="exact"/>
        <w:ind w:firstLine="482" w:firstLineChars="200"/>
        <w:rPr>
          <w:rFonts w:ascii="Times New Roman" w:hAnsi="Times New Roman" w:cs="Times New Roman"/>
          <w:b/>
          <w:bCs/>
          <w:color w:val="000000"/>
          <w:sz w:val="24"/>
          <w:szCs w:val="24"/>
        </w:rPr>
      </w:pPr>
      <w:r>
        <w:rPr>
          <w:rFonts w:ascii="Times New Roman" w:hAnsi="Times New Roman" w:cs="Times New Roman"/>
          <w:b/>
          <w:bCs/>
          <w:color w:val="000000"/>
          <w:sz w:val="24"/>
          <w:szCs w:val="24"/>
        </w:rPr>
        <w:t>二、</w:t>
      </w:r>
      <w:r>
        <w:rPr>
          <w:rFonts w:hint="eastAsia" w:ascii="Times New Roman" w:hAnsi="Times New Roman" w:cs="Times New Roman"/>
          <w:b/>
          <w:bCs/>
          <w:color w:val="000000"/>
          <w:sz w:val="24"/>
          <w:szCs w:val="24"/>
        </w:rPr>
        <w:t>标准编制原则、主要技术内容及其确定依据</w:t>
      </w:r>
    </w:p>
    <w:p w14:paraId="665BBB0D">
      <w:pPr>
        <w:widowControl/>
        <w:spacing w:before="120" w:beforeLines="50" w:after="120" w:afterLines="50" w:line="400" w:lineRule="exact"/>
        <w:ind w:firstLine="482" w:firstLineChars="200"/>
        <w:rPr>
          <w:rFonts w:hint="eastAsia"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lang w:val="en-US" w:eastAsia="zh-CN"/>
        </w:rPr>
        <w:t>（一）</w:t>
      </w:r>
      <w:r>
        <w:rPr>
          <w:rFonts w:hint="eastAsia" w:ascii="Times New Roman" w:hAnsi="Times New Roman" w:cs="Times New Roman"/>
          <w:b/>
          <w:bCs/>
          <w:color w:val="000000"/>
          <w:sz w:val="24"/>
          <w:szCs w:val="24"/>
          <w:lang w:val="en-US" w:eastAsia="zh-CN"/>
        </w:rPr>
        <w:t>标准</w:t>
      </w:r>
      <w:r>
        <w:rPr>
          <w:rFonts w:hint="eastAsia" w:ascii="Times New Roman" w:hAnsi="Times New Roman" w:eastAsia="宋体" w:cs="Times New Roman"/>
          <w:b/>
          <w:bCs/>
          <w:color w:val="000000"/>
          <w:sz w:val="24"/>
          <w:szCs w:val="24"/>
          <w:lang w:val="en-US" w:eastAsia="zh-CN"/>
        </w:rPr>
        <w:t>编制原则</w:t>
      </w:r>
    </w:p>
    <w:p w14:paraId="654212F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lang w:val="en-US" w:eastAsia="en-US"/>
        </w:rPr>
      </w:pPr>
      <w:r>
        <w:rPr>
          <w:rFonts w:hint="eastAsia" w:ascii="仿宋" w:hAnsi="仿宋" w:eastAsia="仿宋" w:cs="仿宋"/>
          <w:sz w:val="24"/>
          <w:szCs w:val="24"/>
          <w:shd w:val="clear" w:color="auto" w:fill="FFFFFF"/>
          <w:lang w:val="en-US" w:eastAsia="en-US"/>
        </w:rPr>
        <w:t>本标准以</w:t>
      </w:r>
      <w:r>
        <w:rPr>
          <w:rFonts w:hint="eastAsia" w:ascii="仿宋" w:hAnsi="仿宋" w:eastAsia="仿宋" w:cs="仿宋"/>
          <w:sz w:val="24"/>
          <w:szCs w:val="24"/>
          <w:shd w:val="clear" w:color="auto" w:fill="FFFFFF"/>
          <w:lang w:val="en-US" w:eastAsia="zh-CN"/>
        </w:rPr>
        <w:t>现有法规标准为基础，引入行业最新管理理念，同时兼顾不同博物馆的差异性，以</w:t>
      </w:r>
      <w:r>
        <w:rPr>
          <w:rFonts w:hint="eastAsia" w:ascii="仿宋" w:hAnsi="仿宋" w:eastAsia="仿宋" w:cs="仿宋"/>
          <w:sz w:val="24"/>
          <w:szCs w:val="24"/>
          <w:shd w:val="clear" w:color="auto" w:fill="FFFFFF"/>
          <w:lang w:val="en-US" w:eastAsia="en-US"/>
        </w:rPr>
        <w:t>人防的全过程管理要求为主，兼顾物防和技防的日常管理，具体包括安全保卫机构与人员设置、安全保卫管理制度编制、安全保卫管理活动组织实施等方面。在事件类型维度主要面向防盗、防破坏、防肇事、防恐、防拥挤踩踏等社会安全事件类事件的预防与控制。</w:t>
      </w:r>
    </w:p>
    <w:p w14:paraId="42BBFCF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 w:hAnsi="仿宋" w:eastAsia="仿宋" w:cs="仿宋"/>
          <w:sz w:val="24"/>
          <w:szCs w:val="24"/>
          <w:shd w:val="clear" w:color="auto" w:fill="FFFFFF"/>
          <w:lang w:val="en-US" w:eastAsia="en-US"/>
        </w:rPr>
      </w:pPr>
      <w:r>
        <w:rPr>
          <w:rFonts w:hint="eastAsia" w:ascii="仿宋" w:hAnsi="仿宋" w:eastAsia="仿宋" w:cs="仿宋"/>
          <w:sz w:val="24"/>
          <w:szCs w:val="24"/>
          <w:shd w:val="clear" w:color="auto" w:fill="FFFFFF"/>
          <w:lang w:val="en-US" w:eastAsia="en-US"/>
        </w:rPr>
        <w:t>本标准以博物馆共性基准规范为主，兼顾</w:t>
      </w:r>
      <w:r>
        <w:rPr>
          <w:rFonts w:hint="eastAsia" w:ascii="仿宋" w:hAnsi="仿宋" w:eastAsia="仿宋" w:cs="仿宋"/>
          <w:sz w:val="24"/>
          <w:szCs w:val="24"/>
          <w:shd w:val="clear" w:color="auto" w:fill="FFFFFF"/>
          <w:lang w:val="en-US" w:eastAsia="zh-CN"/>
        </w:rPr>
        <w:t>不同</w:t>
      </w:r>
      <w:r>
        <w:rPr>
          <w:rFonts w:hint="eastAsia" w:ascii="仿宋" w:hAnsi="仿宋" w:eastAsia="仿宋" w:cs="仿宋"/>
          <w:sz w:val="24"/>
          <w:szCs w:val="24"/>
          <w:shd w:val="clear" w:color="auto" w:fill="FFFFFF"/>
          <w:lang w:val="en-US" w:eastAsia="en-US"/>
        </w:rPr>
        <w:t>级别、不同规模博物馆的个性化需求，针对面积较大、风险较高、管理水平较强的博物馆提出针对性的规范</w:t>
      </w:r>
      <w:r>
        <w:rPr>
          <w:rFonts w:hint="eastAsia" w:ascii="仿宋" w:hAnsi="仿宋" w:eastAsia="仿宋" w:cs="仿宋"/>
          <w:sz w:val="24"/>
          <w:szCs w:val="24"/>
          <w:shd w:val="clear" w:color="auto" w:fill="FFFFFF"/>
          <w:lang w:val="en-US" w:eastAsia="zh-CN"/>
        </w:rPr>
        <w:t>，确保标准的先进性、适用性、可操作性、协调性</w:t>
      </w:r>
      <w:r>
        <w:rPr>
          <w:rFonts w:hint="eastAsia" w:ascii="仿宋" w:hAnsi="仿宋" w:eastAsia="仿宋" w:cs="仿宋"/>
          <w:sz w:val="24"/>
          <w:szCs w:val="24"/>
          <w:shd w:val="clear" w:color="auto" w:fill="FFFFFF"/>
          <w:lang w:val="en-US" w:eastAsia="en-US"/>
        </w:rPr>
        <w:t>。</w:t>
      </w:r>
    </w:p>
    <w:p w14:paraId="40E53B98">
      <w:pPr>
        <w:widowControl/>
        <w:spacing w:before="120" w:beforeLines="50" w:after="120" w:afterLines="50" w:line="400" w:lineRule="exact"/>
        <w:ind w:firstLine="482" w:firstLineChars="200"/>
        <w:rPr>
          <w:rFonts w:hint="eastAsia"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lang w:val="en-US" w:eastAsia="zh-CN"/>
        </w:rPr>
        <w:t>（二）</w:t>
      </w:r>
      <w:r>
        <w:rPr>
          <w:rFonts w:ascii="Times New Roman" w:hAnsi="Times New Roman" w:cs="Times New Roman"/>
          <w:b/>
          <w:bCs/>
          <w:color w:val="000000"/>
          <w:sz w:val="24"/>
          <w:szCs w:val="24"/>
        </w:rPr>
        <w:t>主要内容及其确定依据</w:t>
      </w:r>
    </w:p>
    <w:p w14:paraId="352C0D36">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 w:name="_Toc20496"/>
      <w:r>
        <w:rPr>
          <w:rFonts w:hint="eastAsia" w:ascii="仿宋" w:hAnsi="仿宋" w:eastAsia="仿宋" w:cs="仿宋"/>
          <w:sz w:val="24"/>
          <w:szCs w:val="24"/>
        </w:rPr>
        <w:t>标准化对象、标准使用者和使用场景</w:t>
      </w:r>
      <w:bookmarkEnd w:id="4"/>
    </w:p>
    <w:p w14:paraId="7603A608">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文件作为博物馆领域的行业标准应兼顾行业内不同博物馆的不同条件，既要有普适性、又要有可操作性和针对性。目前，我国博物馆类型复杂，6500多家博物馆按照不同维度分为不同类型。在《博物馆管理条例》中按照博物馆资产的性质，将博物馆分为国有博物馆和非国有博物馆。《博物馆定级评估办法》中，按照博物馆综合管理与基础设施、藏品管理与科学研究、影响力与社会服务3个方面将博物馆分为一级、二级、三级博物馆。《博物馆建筑设计规范》中按照建筑规模将博物馆分为特大型、</w:t>
      </w:r>
      <w:r>
        <w:rPr>
          <w:rFonts w:hint="eastAsia" w:ascii="仿宋" w:hAnsi="仿宋" w:eastAsia="仿宋" w:cs="仿宋"/>
          <w:sz w:val="24"/>
          <w:szCs w:val="24"/>
          <w:shd w:val="clear" w:color="auto" w:fill="FFFFFF"/>
          <w:lang w:eastAsia="zh-CN"/>
        </w:rPr>
        <w:t>大型</w:t>
      </w:r>
      <w:r>
        <w:rPr>
          <w:rFonts w:hint="eastAsia" w:ascii="仿宋" w:hAnsi="仿宋" w:eastAsia="仿宋" w:cs="仿宋"/>
          <w:sz w:val="24"/>
          <w:szCs w:val="24"/>
          <w:shd w:val="clear" w:color="auto" w:fill="FFFFFF"/>
        </w:rPr>
        <w:t>、大中型、中型、小型馆。GA27从风险的角度，按照博物馆藏品级别和数量，将博物馆分为一级、二级、三级风险单位。</w:t>
      </w:r>
    </w:p>
    <w:p w14:paraId="050583CF">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《博物馆管理条例》的第十条和第十四条明确要求了博物馆设立时应该具备“确保观众人身安全的设施、制度及应急预案”，在运行时应该“加强对藏品的安全管理”。</w:t>
      </w:r>
      <w:r>
        <w:rPr>
          <w:rFonts w:hint="eastAsia" w:ascii="仿宋" w:hAnsi="仿宋" w:eastAsia="仿宋" w:cs="仿宋"/>
          <w:b/>
          <w:bCs/>
          <w:sz w:val="24"/>
          <w:szCs w:val="24"/>
          <w:shd w:val="clear" w:color="auto" w:fill="FFFFFF"/>
        </w:rPr>
        <w:t>因此，安全保卫工作是所有博物馆的一项基础性工作，应该有一个基础性要求，本文件首先应该为所有依法设立的博物馆的安全保卫提供一个通用性的指导。不同类型、不同级别的博物馆的差异性管理要求通过具体的条款进行区分</w:t>
      </w:r>
      <w:r>
        <w:rPr>
          <w:rFonts w:hint="eastAsia" w:ascii="仿宋" w:hAnsi="仿宋" w:eastAsia="仿宋" w:cs="仿宋"/>
          <w:sz w:val="24"/>
          <w:szCs w:val="24"/>
          <w:shd w:val="clear" w:color="auto" w:fill="FFFFFF"/>
        </w:rPr>
        <w:t>。如GA27从风险等级划分的标准，主要是对应于文物保护方面的要求，就在标准有关安保人员配置、巡查检查频次和周期、值班值守规则等条款设置时给出特殊要求。与从建筑规模划分的大中小型博物馆，主要与场馆面积相关，在本文件中涉及清场等与面积相关的工作要求时予以考虑，对于一二三级博物馆，主要与管理规范性和管理质量相关的条款要求。</w:t>
      </w:r>
    </w:p>
    <w:p w14:paraId="3F9E5C43">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b/>
          <w:bCs/>
          <w:sz w:val="24"/>
          <w:szCs w:val="24"/>
          <w:shd w:val="clear" w:color="auto" w:fill="FFFFFF"/>
        </w:rPr>
      </w:pPr>
      <w:r>
        <w:rPr>
          <w:rFonts w:hint="eastAsia" w:ascii="仿宋" w:hAnsi="仿宋" w:eastAsia="仿宋" w:cs="仿宋"/>
          <w:sz w:val="24"/>
          <w:szCs w:val="24"/>
          <w:shd w:val="clear" w:color="auto" w:fill="FFFFFF"/>
        </w:rPr>
        <w:t>博物馆作为高风险、高价值密度的保护对象，面临的风险类型很多，要保护的目标也很多。因此，博物馆安全工作实际上是一个大概念，藏品本身防老化是博物馆安全工作的范畴，藏品防震、水电气热基础设施安全运行是安全工作的范畴，夏季防汛、冬季防火也都是安全的范畴，但一个标准能解决的问题有限，</w:t>
      </w:r>
      <w:r>
        <w:rPr>
          <w:rFonts w:hint="eastAsia" w:ascii="仿宋" w:hAnsi="仿宋" w:eastAsia="仿宋" w:cs="仿宋"/>
          <w:b/>
          <w:bCs/>
          <w:sz w:val="24"/>
          <w:szCs w:val="24"/>
          <w:shd w:val="clear" w:color="auto" w:fill="FFFFFF"/>
        </w:rPr>
        <w:t>本文件核心内容是“安全保卫”</w:t>
      </w:r>
      <w:r>
        <w:rPr>
          <w:rFonts w:hint="eastAsia" w:ascii="仿宋" w:hAnsi="仿宋" w:eastAsia="仿宋" w:cs="仿宋"/>
          <w:sz w:val="24"/>
          <w:szCs w:val="24"/>
          <w:shd w:val="clear" w:color="auto" w:fill="FFFFFF"/>
        </w:rPr>
        <w:t>，“安全保卫”是指“通过有效的保护措施，使之不受威胁、危害和损失”，所以从“保卫”的角度来谈安全，本文件主要是指传统的“治安保卫”“治安防范”管理。</w:t>
      </w:r>
      <w:r>
        <w:rPr>
          <w:rFonts w:hint="eastAsia" w:ascii="仿宋" w:hAnsi="仿宋" w:eastAsia="仿宋" w:cs="仿宋"/>
          <w:b/>
          <w:bCs/>
          <w:sz w:val="24"/>
          <w:szCs w:val="24"/>
          <w:shd w:val="clear" w:color="auto" w:fill="FFFFFF"/>
        </w:rPr>
        <w:t>从突发事件类型的角度来看，主要指“社会安全类”事件的预防、控制和管理，也就是聚焦于防盗、防破坏、防肇事、防恐、防拥挤踩踏等社会安全事件类事件的预防与控制。</w:t>
      </w:r>
    </w:p>
    <w:p w14:paraId="39465BCB">
      <w:pPr>
        <w:pStyle w:val="24"/>
        <w:pageBreakBefore w:val="0"/>
        <w:widowControl w:val="0"/>
        <w:kinsoku/>
        <w:wordWrap/>
        <w:topLinePunct w:val="0"/>
        <w:autoSpaceDE/>
        <w:autoSpaceDN/>
        <w:bidi w:val="0"/>
        <w:adjustRightInd/>
        <w:spacing w:line="240" w:lineRule="auto"/>
        <w:ind w:left="0" w:leftChars="0"/>
        <w:jc w:val="center"/>
        <w:textAlignment w:val="auto"/>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175760" cy="631190"/>
            <wp:effectExtent l="0" t="0" r="15240" b="165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4175760" cy="631190"/>
                    </a:xfrm>
                    <a:prstGeom prst="rect">
                      <a:avLst/>
                    </a:prstGeom>
                    <a:noFill/>
                    <a:ln>
                      <a:noFill/>
                    </a:ln>
                  </pic:spPr>
                </pic:pic>
              </a:graphicData>
            </a:graphic>
          </wp:inline>
        </w:drawing>
      </w:r>
    </w:p>
    <w:p w14:paraId="5B3C5256">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从安全保卫的主要方式上看，对物防、技防和人防三个方面，现有标准主要集中在物防和技防的设计及建设过</w:t>
      </w:r>
      <w:r>
        <w:rPr>
          <w:rFonts w:hint="eastAsia" w:ascii="仿宋" w:hAnsi="仿宋" w:eastAsia="仿宋" w:cs="仿宋"/>
          <w:sz w:val="24"/>
          <w:szCs w:val="24"/>
          <w:shd w:val="clear" w:color="auto" w:fill="FFFFFF"/>
          <w:lang w:eastAsia="zh-CN"/>
        </w:rPr>
        <w:t>程中</w:t>
      </w:r>
      <w:r>
        <w:rPr>
          <w:rFonts w:hint="eastAsia" w:ascii="仿宋" w:hAnsi="仿宋" w:eastAsia="仿宋" w:cs="仿宋"/>
          <w:sz w:val="24"/>
          <w:szCs w:val="24"/>
          <w:shd w:val="clear" w:color="auto" w:fill="FFFFFF"/>
        </w:rPr>
        <w:t>，在人防方面相对欠缺。另外，在应急的维度上，当前有待发布的《博物馆公共安全应急管理规范》，明确了博物馆应急管理的总体流程和要素要求。本文件主要聚焦于</w:t>
      </w:r>
      <w:r>
        <w:rPr>
          <w:rFonts w:hint="eastAsia" w:ascii="仿宋" w:hAnsi="仿宋" w:eastAsia="仿宋" w:cs="仿宋"/>
          <w:b/>
          <w:bCs/>
          <w:sz w:val="24"/>
          <w:szCs w:val="24"/>
          <w:shd w:val="clear" w:color="auto" w:fill="FFFFFF"/>
        </w:rPr>
        <w:t>人防的全过程管理，同时关注物防和技防在日常运行和使用环节的管理要求</w:t>
      </w:r>
      <w:r>
        <w:rPr>
          <w:rFonts w:hint="eastAsia" w:ascii="仿宋" w:hAnsi="仿宋" w:eastAsia="仿宋" w:cs="仿宋"/>
          <w:sz w:val="24"/>
          <w:szCs w:val="24"/>
          <w:shd w:val="clear" w:color="auto" w:fill="FFFFFF"/>
        </w:rPr>
        <w:t>。</w:t>
      </w:r>
    </w:p>
    <w:p w14:paraId="342F940B">
      <w:pPr>
        <w:pStyle w:val="24"/>
        <w:pageBreakBefore w:val="0"/>
        <w:widowControl w:val="0"/>
        <w:kinsoku/>
        <w:wordWrap/>
        <w:topLinePunct w:val="0"/>
        <w:autoSpaceDE/>
        <w:autoSpaceDN/>
        <w:bidi w:val="0"/>
        <w:adjustRightInd/>
        <w:spacing w:line="240" w:lineRule="auto"/>
        <w:ind w:left="0" w:leftChars="0"/>
        <w:jc w:val="center"/>
        <w:textAlignment w:val="auto"/>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172585" cy="1368425"/>
            <wp:effectExtent l="0" t="0" r="1841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4172585" cy="1368425"/>
                    </a:xfrm>
                    <a:prstGeom prst="rect">
                      <a:avLst/>
                    </a:prstGeom>
                    <a:noFill/>
                    <a:ln>
                      <a:noFill/>
                    </a:ln>
                  </pic:spPr>
                </pic:pic>
              </a:graphicData>
            </a:graphic>
          </wp:inline>
        </w:drawing>
      </w:r>
    </w:p>
    <w:p w14:paraId="204F4BEE">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此外，消防类的标准现在有很多，所以</w:t>
      </w:r>
      <w:r>
        <w:rPr>
          <w:rFonts w:hint="eastAsia" w:ascii="仿宋" w:hAnsi="仿宋" w:eastAsia="仿宋" w:cs="仿宋"/>
          <w:b/>
          <w:bCs/>
          <w:sz w:val="24"/>
          <w:szCs w:val="24"/>
          <w:shd w:val="clear" w:color="auto" w:fill="FFFFFF"/>
        </w:rPr>
        <w:t>和消防有关的要求不在本文件定义。</w:t>
      </w:r>
    </w:p>
    <w:p w14:paraId="1D20AC73">
      <w:pPr>
        <w:pStyle w:val="24"/>
        <w:pageBreakBefore w:val="0"/>
        <w:widowControl w:val="0"/>
        <w:kinsoku/>
        <w:wordWrap/>
        <w:topLinePunct w:val="0"/>
        <w:autoSpaceDE/>
        <w:autoSpaceDN/>
        <w:bidi w:val="0"/>
        <w:adjustRightInd/>
        <w:spacing w:line="240" w:lineRule="auto"/>
        <w:ind w:left="0" w:leftChars="0"/>
        <w:jc w:val="center"/>
        <w:textAlignment w:val="auto"/>
        <w:rPr>
          <w:rFonts w:hint="eastAsia" w:ascii="仿宋" w:hAnsi="仿宋" w:eastAsia="仿宋" w:cs="仿宋"/>
          <w:sz w:val="24"/>
          <w:szCs w:val="24"/>
        </w:rPr>
      </w:pPr>
      <w:r>
        <w:rPr>
          <w:rFonts w:hint="eastAsia" w:ascii="仿宋" w:hAnsi="仿宋" w:eastAsia="仿宋" w:cs="仿宋"/>
          <w:sz w:val="24"/>
          <w:szCs w:val="24"/>
        </w:rPr>
        <w:drawing>
          <wp:inline distT="0" distB="0" distL="114300" distR="114300">
            <wp:extent cx="4478020" cy="2941955"/>
            <wp:effectExtent l="0" t="0" r="17780" b="1079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4478020" cy="2941955"/>
                    </a:xfrm>
                    <a:prstGeom prst="rect">
                      <a:avLst/>
                    </a:prstGeom>
                    <a:noFill/>
                    <a:ln>
                      <a:noFill/>
                    </a:ln>
                  </pic:spPr>
                </pic:pic>
              </a:graphicData>
            </a:graphic>
          </wp:inline>
        </w:drawing>
      </w:r>
    </w:p>
    <w:p w14:paraId="09847A18">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综上所述，</w:t>
      </w:r>
      <w:r>
        <w:rPr>
          <w:rFonts w:hint="eastAsia" w:ascii="仿宋" w:hAnsi="仿宋" w:eastAsia="仿宋" w:cs="仿宋"/>
          <w:b/>
          <w:bCs/>
          <w:sz w:val="24"/>
          <w:szCs w:val="24"/>
          <w:shd w:val="clear" w:color="auto" w:fill="FFFFFF"/>
        </w:rPr>
        <w:t>本文件标准化对象是以人防为主的博物馆安全保卫管理工作</w:t>
      </w:r>
      <w:r>
        <w:rPr>
          <w:rFonts w:hint="eastAsia" w:ascii="仿宋" w:hAnsi="仿宋" w:eastAsia="仿宋" w:cs="仿宋"/>
          <w:sz w:val="24"/>
          <w:szCs w:val="24"/>
          <w:shd w:val="clear" w:color="auto" w:fill="FFFFFF"/>
        </w:rPr>
        <w:t>。</w:t>
      </w:r>
      <w:r>
        <w:rPr>
          <w:rFonts w:hint="eastAsia" w:ascii="仿宋" w:hAnsi="仿宋" w:eastAsia="仿宋" w:cs="仿宋"/>
          <w:b/>
          <w:bCs/>
          <w:sz w:val="24"/>
          <w:szCs w:val="24"/>
          <w:shd w:val="clear" w:color="auto" w:fill="FFFFFF"/>
        </w:rPr>
        <w:t>标准使用者是全国各类博物馆，包括博物馆领导、安全保卫部门和相关人员。标准使用场景是指导</w:t>
      </w:r>
      <w:r>
        <w:rPr>
          <w:rFonts w:hint="eastAsia" w:ascii="仿宋" w:hAnsi="仿宋" w:eastAsia="仿宋" w:cs="仿宋"/>
          <w:b/>
          <w:bCs/>
          <w:sz w:val="24"/>
          <w:szCs w:val="24"/>
          <w:shd w:val="clear" w:color="auto" w:fill="FFFFFF"/>
          <w:lang w:val="en-US" w:eastAsia="zh-CN"/>
        </w:rPr>
        <w:t>博物馆</w:t>
      </w:r>
      <w:r>
        <w:rPr>
          <w:rFonts w:hint="eastAsia" w:ascii="仿宋" w:hAnsi="仿宋" w:eastAsia="仿宋" w:cs="仿宋"/>
          <w:b/>
          <w:bCs/>
          <w:sz w:val="24"/>
          <w:szCs w:val="24"/>
          <w:shd w:val="clear" w:color="auto" w:fill="FFFFFF"/>
        </w:rPr>
        <w:t>维护内部治安秩序、开展治安防范，预防违法犯罪，保护参观观众、工作人员人身安全，以及文物和公共设施安全</w:t>
      </w:r>
      <w:r>
        <w:rPr>
          <w:rFonts w:hint="eastAsia" w:ascii="仿宋" w:hAnsi="仿宋" w:eastAsia="仿宋" w:cs="仿宋"/>
          <w:sz w:val="24"/>
          <w:szCs w:val="24"/>
          <w:shd w:val="clear" w:color="auto" w:fill="FFFFFF"/>
        </w:rPr>
        <w:t>。</w:t>
      </w:r>
      <w:r>
        <w:rPr>
          <w:rFonts w:hint="eastAsia" w:ascii="仿宋" w:hAnsi="仿宋" w:eastAsia="仿宋" w:cs="仿宋"/>
          <w:b/>
          <w:bCs/>
          <w:sz w:val="24"/>
          <w:szCs w:val="24"/>
          <w:shd w:val="clear" w:color="auto" w:fill="FFFFFF"/>
        </w:rPr>
        <w:t>本文件不适用于博物馆跨区域文物转运、馆外考古发掘等馆外业务活动的安全保卫管理。</w:t>
      </w:r>
    </w:p>
    <w:p w14:paraId="353AFA66">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r>
        <w:rPr>
          <w:rFonts w:hint="eastAsia" w:ascii="仿宋" w:hAnsi="仿宋" w:eastAsia="仿宋" w:cs="仿宋"/>
          <w:sz w:val="24"/>
          <w:szCs w:val="24"/>
        </w:rPr>
        <w:t>ICS/CCS、标题中英文</w:t>
      </w:r>
    </w:p>
    <w:p w14:paraId="57BC744B">
      <w:pPr>
        <w:pageBreakBefore w:val="0"/>
        <w:widowControl w:val="0"/>
        <w:kinsoku/>
        <w:wordWrap/>
        <w:topLinePunct w:val="0"/>
        <w:autoSpaceDE/>
        <w:autoSpaceDN/>
        <w:bidi w:val="0"/>
        <w:adjustRightInd/>
        <w:spacing w:line="400" w:lineRule="exact"/>
        <w:ind w:firstLine="480" w:firstLineChars="200"/>
        <w:textAlignment w:val="auto"/>
        <w:rPr>
          <w:rFonts w:hint="default"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本标准的标准化对象是</w:t>
      </w:r>
      <w:r>
        <w:rPr>
          <w:rFonts w:hint="eastAsia" w:ascii="仿宋" w:hAnsi="仿宋" w:eastAsia="仿宋" w:cs="仿宋"/>
          <w:sz w:val="24"/>
          <w:szCs w:val="24"/>
          <w:shd w:val="clear" w:color="auto" w:fill="FFFFFF"/>
        </w:rPr>
        <w:t>以人防为主的博物馆安全保卫管理工作</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博物馆属于非营利性的文化教育机构，安全保卫属于社会公共安全领域，因此，ICS为97.195；13.200（服务－其他服务），CCS为Y 88；A 90（社会公共安全综合）。标准中文名称为《</w:t>
      </w:r>
      <w:r>
        <w:rPr>
          <w:rFonts w:hint="eastAsia" w:ascii="仿宋" w:hAnsi="仿宋" w:eastAsia="仿宋" w:cs="仿宋"/>
          <w:sz w:val="24"/>
          <w:szCs w:val="24"/>
          <w:shd w:val="clear" w:color="auto" w:fill="FFFFFF"/>
        </w:rPr>
        <w:t>博物馆安全保卫管理规范</w:t>
      </w:r>
      <w:r>
        <w:rPr>
          <w:rFonts w:hint="eastAsia" w:ascii="仿宋" w:hAnsi="仿宋" w:eastAsia="仿宋" w:cs="仿宋"/>
          <w:sz w:val="24"/>
          <w:szCs w:val="24"/>
          <w:shd w:val="clear" w:color="auto" w:fill="FFFFFF"/>
          <w:lang w:val="en-US" w:eastAsia="zh-CN"/>
        </w:rPr>
        <w:t>》，英文名为《</w:t>
      </w:r>
      <w:r>
        <w:rPr>
          <w:rFonts w:hint="default" w:ascii="Times New Roman" w:hAnsi="Times New Roman" w:eastAsia="仿宋" w:cs="Times New Roman"/>
          <w:sz w:val="24"/>
          <w:szCs w:val="24"/>
          <w:shd w:val="clear" w:color="auto" w:fill="FFFFFF"/>
          <w:lang w:val="en-US" w:eastAsia="zh-CN"/>
        </w:rPr>
        <w:t>Specification for security management</w:t>
      </w:r>
      <w:r>
        <w:rPr>
          <w:rFonts w:hint="eastAsia" w:ascii="Times New Roman" w:hAnsi="Times New Roman" w:eastAsia="仿宋" w:cs="Times New Roman"/>
          <w:sz w:val="24"/>
          <w:szCs w:val="24"/>
          <w:shd w:val="clear" w:color="auto" w:fill="FFFFFF"/>
          <w:lang w:val="en-US" w:eastAsia="zh-CN"/>
        </w:rPr>
        <w:t xml:space="preserve"> of </w:t>
      </w:r>
      <w:r>
        <w:rPr>
          <w:rFonts w:hint="default" w:ascii="Times New Roman" w:hAnsi="Times New Roman" w:eastAsia="仿宋" w:cs="Times New Roman"/>
          <w:sz w:val="24"/>
          <w:szCs w:val="24"/>
          <w:shd w:val="clear" w:color="auto" w:fill="FFFFFF"/>
          <w:lang w:val="en-US" w:eastAsia="zh-CN"/>
        </w:rPr>
        <w:t xml:space="preserve">museum </w:t>
      </w:r>
      <w:r>
        <w:rPr>
          <w:rFonts w:hint="eastAsia" w:ascii="仿宋" w:hAnsi="仿宋" w:eastAsia="仿宋" w:cs="仿宋"/>
          <w:sz w:val="24"/>
          <w:szCs w:val="24"/>
          <w:shd w:val="clear" w:color="auto" w:fill="FFFFFF"/>
          <w:lang w:val="en-US" w:eastAsia="zh-CN"/>
        </w:rPr>
        <w:t>》。</w:t>
      </w:r>
    </w:p>
    <w:p w14:paraId="3A4C94AE">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5" w:name="_Toc21849"/>
      <w:r>
        <w:rPr>
          <w:rFonts w:hint="eastAsia" w:ascii="仿宋" w:hAnsi="仿宋" w:eastAsia="仿宋" w:cs="仿宋"/>
          <w:sz w:val="24"/>
          <w:szCs w:val="24"/>
        </w:rPr>
        <w:t>标准框架和主要内容</w:t>
      </w:r>
      <w:bookmarkEnd w:id="5"/>
    </w:p>
    <w:p w14:paraId="26F0A643">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从现有政府的相关条例及规范性文件看，《企事业单位内部治安保卫工作条例》对企事业单位层面的要求主要包括“方针、机构、职责、制度、重要部位、奖惩”6个部分；《博物馆安全保卫工作规定》主要从“方针、领导职责、保卫组织、重点要害部位、防盗、消防、技术预防、奖惩”8个部分进行了规定；《关于加强文物博物馆单位治安防范工作的意见》（公治安〔2021〕1685号）中强调了“落实文物博物馆单位直接责任、加强治安防范制度建设、充实治安防范力量、推进治安防范设施建设、加强治安防范信息化建设、强化文博单位及周边治安防控（含应急管理）、完善保障措施”等七个方面。通过分析可知，博物馆安全保卫的管理要素在增加，其中机构、职责、制度、重点部位、技防系统是核心。</w:t>
      </w:r>
    </w:p>
    <w:p w14:paraId="79272404">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从目前安全管理相关的通用性标准来看，GB/T45001-2020《职业健康安全管理体系 要求及使用指南》中核心要求部分包括“组织所处的环境、领导作用和工作人员参与、策划、支持、运行、绩效评价、改进”7个部分，其中“策划”包括应对风险和机遇的措施、职业健康安全目标及其实现的策划两部分内容，“运行”包括运行策划和控制、应急准备和响应两部分内容。GB/T 33000-20</w:t>
      </w:r>
      <w:r>
        <w:rPr>
          <w:rFonts w:hint="eastAsia" w:ascii="仿宋" w:hAnsi="仿宋" w:eastAsia="仿宋" w:cs="仿宋"/>
          <w:sz w:val="24"/>
          <w:szCs w:val="24"/>
          <w:shd w:val="clear" w:color="auto" w:fill="FFFFFF"/>
          <w:lang w:val="en-US" w:eastAsia="zh-CN"/>
        </w:rPr>
        <w:t>25</w:t>
      </w:r>
      <w:r>
        <w:rPr>
          <w:rFonts w:hint="eastAsia" w:ascii="仿宋" w:hAnsi="仿宋" w:eastAsia="仿宋" w:cs="仿宋"/>
          <w:sz w:val="24"/>
          <w:szCs w:val="24"/>
          <w:shd w:val="clear" w:color="auto" w:fill="FFFFFF"/>
        </w:rPr>
        <w:t>《大中型企业安全生产标准化管理体系要求》中核心要求部分包括“</w:t>
      </w:r>
      <w:r>
        <w:rPr>
          <w:rFonts w:hint="eastAsia" w:ascii="仿宋" w:hAnsi="仿宋" w:eastAsia="仿宋" w:cs="仿宋"/>
          <w:sz w:val="24"/>
          <w:szCs w:val="24"/>
          <w:shd w:val="clear" w:color="auto" w:fill="FFFFFF"/>
          <w:lang w:val="en-US" w:eastAsia="zh-CN"/>
        </w:rPr>
        <w:t>领导作用、基础保障、策划、安全</w:t>
      </w:r>
      <w:r>
        <w:rPr>
          <w:rFonts w:hint="eastAsia" w:ascii="仿宋" w:hAnsi="仿宋" w:eastAsia="仿宋" w:cs="仿宋"/>
          <w:sz w:val="24"/>
          <w:szCs w:val="24"/>
          <w:shd w:val="clear" w:color="auto" w:fill="FFFFFF"/>
        </w:rPr>
        <w:t>风险管控</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隐患排查治理、</w:t>
      </w:r>
      <w:r>
        <w:rPr>
          <w:rFonts w:hint="eastAsia" w:ascii="仿宋" w:hAnsi="仿宋" w:eastAsia="仿宋" w:cs="仿宋"/>
          <w:sz w:val="24"/>
          <w:szCs w:val="24"/>
          <w:shd w:val="clear" w:color="auto" w:fill="FFFFFF"/>
          <w:lang w:val="en-US" w:eastAsia="zh-CN"/>
        </w:rPr>
        <w:t>人员管理、现场管理、</w:t>
      </w:r>
      <w:r>
        <w:rPr>
          <w:rFonts w:hint="eastAsia" w:ascii="仿宋" w:hAnsi="仿宋" w:eastAsia="仿宋" w:cs="仿宋"/>
          <w:sz w:val="24"/>
          <w:szCs w:val="24"/>
          <w:shd w:val="clear" w:color="auto" w:fill="FFFFFF"/>
        </w:rPr>
        <w:t>应急</w:t>
      </w:r>
      <w:r>
        <w:rPr>
          <w:rFonts w:hint="eastAsia" w:ascii="仿宋" w:hAnsi="仿宋" w:eastAsia="仿宋" w:cs="仿宋"/>
          <w:sz w:val="24"/>
          <w:szCs w:val="24"/>
          <w:shd w:val="clear" w:color="auto" w:fill="FFFFFF"/>
          <w:lang w:val="en-US" w:eastAsia="zh-CN"/>
        </w:rPr>
        <w:t>准备与处置</w:t>
      </w:r>
      <w:r>
        <w:rPr>
          <w:rFonts w:hint="eastAsia" w:ascii="仿宋" w:hAnsi="仿宋" w:eastAsia="仿宋" w:cs="仿宋"/>
          <w:sz w:val="24"/>
          <w:szCs w:val="24"/>
          <w:shd w:val="clear" w:color="auto" w:fill="FFFFFF"/>
        </w:rPr>
        <w:t>、</w:t>
      </w:r>
      <w:r>
        <w:rPr>
          <w:rFonts w:hint="eastAsia" w:ascii="仿宋" w:hAnsi="仿宋" w:eastAsia="仿宋" w:cs="仿宋"/>
          <w:sz w:val="24"/>
          <w:szCs w:val="24"/>
          <w:shd w:val="clear" w:color="auto" w:fill="FFFFFF"/>
          <w:lang w:val="en-US" w:eastAsia="zh-CN"/>
        </w:rPr>
        <w:t>检查评估</w:t>
      </w:r>
      <w:r>
        <w:rPr>
          <w:rFonts w:hint="eastAsia" w:ascii="仿宋" w:hAnsi="仿宋" w:eastAsia="仿宋" w:cs="仿宋"/>
          <w:sz w:val="24"/>
          <w:szCs w:val="24"/>
          <w:shd w:val="clear" w:color="auto" w:fill="FFFFFF"/>
        </w:rPr>
        <w:t>、持续改进”</w:t>
      </w:r>
      <w:r>
        <w:rPr>
          <w:rFonts w:hint="eastAsia" w:ascii="仿宋" w:hAnsi="仿宋" w:eastAsia="仿宋" w:cs="仿宋"/>
          <w:sz w:val="24"/>
          <w:szCs w:val="24"/>
          <w:shd w:val="clear" w:color="auto" w:fill="FFFFFF"/>
          <w:lang w:val="en-US" w:eastAsia="zh-CN"/>
        </w:rPr>
        <w:t>10</w:t>
      </w:r>
      <w:r>
        <w:rPr>
          <w:rFonts w:hint="eastAsia" w:ascii="仿宋" w:hAnsi="仿宋" w:eastAsia="仿宋" w:cs="仿宋"/>
          <w:sz w:val="24"/>
          <w:szCs w:val="24"/>
          <w:shd w:val="clear" w:color="auto" w:fill="FFFFFF"/>
        </w:rPr>
        <w:t>个部分，其中</w:t>
      </w:r>
      <w:r>
        <w:rPr>
          <w:rFonts w:hint="eastAsia" w:ascii="仿宋" w:hAnsi="仿宋" w:eastAsia="仿宋" w:cs="仿宋"/>
          <w:sz w:val="24"/>
          <w:szCs w:val="24"/>
          <w:shd w:val="clear" w:color="auto" w:fill="FFFFFF"/>
          <w:lang w:val="en-US" w:eastAsia="zh-CN"/>
        </w:rPr>
        <w:t>策划部分包括“理念、目标、全员参与、信息沟通”</w:t>
      </w:r>
      <w:r>
        <w:rPr>
          <w:rFonts w:hint="eastAsia" w:ascii="仿宋" w:hAnsi="仿宋" w:eastAsia="仿宋" w:cs="仿宋"/>
          <w:sz w:val="24"/>
          <w:szCs w:val="24"/>
          <w:shd w:val="clear" w:color="auto" w:fill="FFFFFF"/>
        </w:rPr>
        <w:t>等内容。</w:t>
      </w:r>
    </w:p>
    <w:p w14:paraId="6D9D98D3">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从调研情况来看，当前我国博物馆安全保卫管理整体处于“依靠性”阶段，大多数博物馆安全管理缺乏顶层设计和体系化管理，管理方法主要还是依靠制度和经验，只有少数博物馆建立并运行了安全管理体系或质量管理体系。然而，</w:t>
      </w:r>
      <w:r>
        <w:rPr>
          <w:rFonts w:hint="eastAsia" w:ascii="仿宋" w:hAnsi="仿宋" w:eastAsia="仿宋" w:cs="仿宋"/>
          <w:spacing w:val="1"/>
          <w:sz w:val="24"/>
          <w:szCs w:val="24"/>
        </w:rPr>
        <w:t>当前博物馆安全保卫面临的问题越来越复杂，社会对博物馆安全保卫管理要求越来越高，必须让博物馆能够掌握建立、实施、保持和持续改进安全保卫管理制度或体系的方法</w:t>
      </w:r>
      <w:r>
        <w:rPr>
          <w:rFonts w:hint="eastAsia" w:ascii="仿宋" w:hAnsi="仿宋" w:eastAsia="仿宋" w:cs="仿宋"/>
          <w:sz w:val="24"/>
          <w:szCs w:val="24"/>
          <w:shd w:val="clear" w:color="auto" w:fill="FFFFFF"/>
        </w:rPr>
        <w:t>。因此，本文件</w:t>
      </w:r>
      <w:r>
        <w:rPr>
          <w:rFonts w:hint="eastAsia" w:ascii="仿宋" w:hAnsi="仿宋" w:eastAsia="仿宋" w:cs="仿宋"/>
          <w:sz w:val="24"/>
          <w:szCs w:val="24"/>
          <w:shd w:val="clear" w:color="auto" w:fill="FFFFFF"/>
          <w:lang w:eastAsia="zh-CN"/>
        </w:rPr>
        <w:t>首先</w:t>
      </w:r>
      <w:r>
        <w:rPr>
          <w:rFonts w:hint="eastAsia" w:ascii="仿宋" w:hAnsi="仿宋" w:eastAsia="仿宋" w:cs="仿宋"/>
          <w:sz w:val="24"/>
          <w:szCs w:val="24"/>
          <w:shd w:val="clear" w:color="auto" w:fill="FFFFFF"/>
        </w:rPr>
        <w:t>定义博物馆安全保卫管理的组织实施流程，并进一步对流程中各个环节的工作进行规范。</w:t>
      </w:r>
    </w:p>
    <w:p w14:paraId="51FCBBBB">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综合上述内容，本标准共包括</w:t>
      </w:r>
      <w:r>
        <w:rPr>
          <w:rFonts w:hint="eastAsia" w:ascii="仿宋" w:hAnsi="仿宋" w:eastAsia="仿宋" w:cs="仿宋"/>
          <w:sz w:val="24"/>
          <w:szCs w:val="24"/>
          <w:shd w:val="clear" w:color="auto" w:fill="FFFFFF"/>
          <w:lang w:val="en-US" w:eastAsia="zh-CN"/>
        </w:rPr>
        <w:t>9</w:t>
      </w:r>
      <w:r>
        <w:rPr>
          <w:rFonts w:hint="eastAsia" w:ascii="仿宋" w:hAnsi="仿宋" w:eastAsia="仿宋" w:cs="仿宋"/>
          <w:sz w:val="24"/>
          <w:szCs w:val="24"/>
          <w:shd w:val="clear" w:color="auto" w:fill="FFFFFF"/>
        </w:rPr>
        <w:t>章主要内容：</w:t>
      </w:r>
    </w:p>
    <w:p w14:paraId="67BAD01F">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第1章范围，明确了本文件规定了</w:t>
      </w:r>
      <w:bookmarkStart w:id="6" w:name="OLE_LINK1"/>
      <w:r>
        <w:rPr>
          <w:rFonts w:hint="eastAsia" w:ascii="仿宋" w:hAnsi="仿宋" w:eastAsia="仿宋" w:cs="仿宋"/>
          <w:sz w:val="24"/>
          <w:szCs w:val="24"/>
          <w:shd w:val="clear" w:color="auto" w:fill="FFFFFF"/>
          <w:lang w:val="en-US" w:eastAsia="zh-CN"/>
        </w:rPr>
        <w:t>全国各级各类</w:t>
      </w:r>
      <w:r>
        <w:rPr>
          <w:rFonts w:hint="eastAsia" w:ascii="仿宋" w:hAnsi="仿宋" w:eastAsia="仿宋" w:cs="仿宋"/>
          <w:sz w:val="24"/>
          <w:szCs w:val="24"/>
          <w:shd w:val="clear" w:color="auto" w:fill="FFFFFF"/>
        </w:rPr>
        <w:t>博物馆安全保卫</w:t>
      </w:r>
      <w:bookmarkEnd w:id="6"/>
      <w:r>
        <w:rPr>
          <w:rFonts w:hint="eastAsia" w:ascii="仿宋" w:hAnsi="仿宋" w:eastAsia="仿宋" w:cs="仿宋"/>
          <w:sz w:val="24"/>
          <w:szCs w:val="24"/>
          <w:shd w:val="clear" w:color="auto" w:fill="FFFFFF"/>
          <w:lang w:val="en-US" w:eastAsia="zh-CN"/>
        </w:rPr>
        <w:t>工作的基本要求，</w:t>
      </w:r>
      <w:r>
        <w:rPr>
          <w:rFonts w:hint="eastAsia" w:ascii="仿宋" w:hAnsi="仿宋" w:eastAsia="仿宋" w:cs="仿宋"/>
          <w:sz w:val="24"/>
          <w:szCs w:val="24"/>
          <w:shd w:val="clear" w:color="auto" w:fill="FFFFFF"/>
        </w:rPr>
        <w:t>机构</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岗位和</w:t>
      </w:r>
      <w:r>
        <w:rPr>
          <w:rFonts w:hint="eastAsia" w:ascii="仿宋" w:hAnsi="仿宋" w:eastAsia="仿宋" w:cs="仿宋"/>
          <w:sz w:val="24"/>
          <w:szCs w:val="24"/>
          <w:shd w:val="clear" w:color="auto" w:fill="FFFFFF"/>
        </w:rPr>
        <w:t>人员要求</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制度</w:t>
      </w:r>
      <w:r>
        <w:rPr>
          <w:rFonts w:hint="eastAsia" w:ascii="仿宋" w:hAnsi="仿宋" w:eastAsia="仿宋" w:cs="仿宋"/>
          <w:sz w:val="24"/>
          <w:szCs w:val="24"/>
          <w:shd w:val="clear" w:color="auto" w:fill="FFFFFF"/>
          <w:lang w:val="en-US" w:eastAsia="zh-CN"/>
        </w:rPr>
        <w:t>管理</w:t>
      </w:r>
      <w:r>
        <w:rPr>
          <w:rFonts w:hint="eastAsia" w:ascii="仿宋" w:hAnsi="仿宋" w:eastAsia="仿宋" w:cs="仿宋"/>
          <w:sz w:val="24"/>
          <w:szCs w:val="24"/>
          <w:shd w:val="clear" w:color="auto" w:fill="FFFFFF"/>
        </w:rPr>
        <w:t>要求</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日常管理要求</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应急管理要求，以及记录和改进要求</w:t>
      </w:r>
      <w:r>
        <w:rPr>
          <w:rFonts w:hint="eastAsia" w:ascii="仿宋" w:hAnsi="仿宋" w:eastAsia="仿宋" w:cs="仿宋"/>
          <w:sz w:val="24"/>
          <w:szCs w:val="24"/>
          <w:shd w:val="clear" w:color="auto" w:fill="FFFFFF"/>
        </w:rPr>
        <w:t>，提出了相关证实方法。本文件适用于全国</w:t>
      </w:r>
      <w:r>
        <w:rPr>
          <w:rFonts w:hint="eastAsia" w:ascii="仿宋" w:hAnsi="仿宋" w:eastAsia="仿宋" w:cs="仿宋"/>
          <w:sz w:val="24"/>
          <w:szCs w:val="24"/>
          <w:shd w:val="clear" w:color="auto" w:fill="FFFFFF"/>
          <w:lang w:val="en-US" w:eastAsia="zh-CN"/>
        </w:rPr>
        <w:t>各级</w:t>
      </w:r>
      <w:r>
        <w:rPr>
          <w:rFonts w:hint="eastAsia" w:ascii="仿宋" w:hAnsi="仿宋" w:eastAsia="仿宋" w:cs="仿宋"/>
          <w:sz w:val="24"/>
          <w:szCs w:val="24"/>
          <w:shd w:val="clear" w:color="auto" w:fill="FFFFFF"/>
        </w:rPr>
        <w:t>各类博物馆</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用于维护内部治安秩序、开展治安防范，预防违法犯罪，保护参观观众、工作人员人身安全，以及文物和公共设施安全。</w:t>
      </w:r>
    </w:p>
    <w:p w14:paraId="04CF1147">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第2章</w:t>
      </w:r>
      <w:bookmarkStart w:id="7" w:name="_Toc68798848"/>
      <w:bookmarkStart w:id="8" w:name="_Toc91503781"/>
      <w:bookmarkStart w:id="9" w:name="_Toc91503736"/>
      <w:bookmarkStart w:id="10" w:name="_Toc22607"/>
      <w:bookmarkStart w:id="11" w:name="_Toc10721"/>
      <w:bookmarkStart w:id="12" w:name="_Toc68083981"/>
      <w:bookmarkStart w:id="13" w:name="_Toc32684"/>
      <w:bookmarkStart w:id="14" w:name="_Toc24884219"/>
      <w:bookmarkStart w:id="15" w:name="_Toc26986531"/>
      <w:bookmarkStart w:id="16" w:name="_Toc24148"/>
      <w:bookmarkStart w:id="17" w:name="_Toc68095418"/>
      <w:bookmarkStart w:id="18" w:name="_Toc21974"/>
      <w:bookmarkStart w:id="19" w:name="_Toc26213"/>
      <w:bookmarkStart w:id="20" w:name="_Toc16156"/>
      <w:bookmarkStart w:id="21" w:name="_Toc17233334"/>
      <w:bookmarkStart w:id="22" w:name="_Toc17233326"/>
      <w:bookmarkStart w:id="23" w:name="_Toc26648466"/>
      <w:bookmarkStart w:id="24" w:name="_Toc68082337"/>
      <w:bookmarkStart w:id="25" w:name="_Toc32159"/>
      <w:bookmarkStart w:id="26" w:name="_Toc68096083"/>
      <w:bookmarkStart w:id="27" w:name="_Toc11648"/>
      <w:bookmarkStart w:id="28" w:name="_Toc24884212"/>
      <w:bookmarkStart w:id="29" w:name="_Toc26986772"/>
      <w:bookmarkStart w:id="30" w:name="_Toc91509774"/>
      <w:bookmarkStart w:id="31" w:name="_Toc26718931"/>
      <w:bookmarkStart w:id="32" w:name="_Toc27898"/>
      <w:bookmarkStart w:id="33" w:name="_Toc10773"/>
      <w:r>
        <w:rPr>
          <w:rFonts w:hint="eastAsia" w:ascii="仿宋" w:hAnsi="仿宋" w:eastAsia="仿宋" w:cs="仿宋"/>
          <w:sz w:val="24"/>
          <w:szCs w:val="24"/>
          <w:shd w:val="clear" w:color="auto" w:fill="FFFFFF"/>
        </w:rPr>
        <w:t>规范性引用文件</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sz w:val="24"/>
          <w:szCs w:val="24"/>
          <w:shd w:val="clear" w:color="auto" w:fill="FFFFFF"/>
        </w:rPr>
        <w:t>，列出了本文件引用的相关标准。</w:t>
      </w:r>
    </w:p>
    <w:p w14:paraId="16D6865F">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第3章术语和定义，提出了</w:t>
      </w:r>
      <w:r>
        <w:rPr>
          <w:rFonts w:hint="eastAsia" w:ascii="仿宋" w:hAnsi="仿宋" w:eastAsia="仿宋" w:cs="仿宋"/>
          <w:sz w:val="24"/>
          <w:szCs w:val="24"/>
          <w:shd w:val="clear" w:color="auto" w:fill="FFFFFF"/>
          <w:lang w:val="en-US" w:eastAsia="zh-CN"/>
        </w:rPr>
        <w:t>安全保卫人员、出入口、电子防范系统、风险评估、监控中心、相关方、重点部位</w:t>
      </w:r>
      <w:r>
        <w:rPr>
          <w:rFonts w:hint="eastAsia" w:ascii="仿宋" w:hAnsi="仿宋" w:eastAsia="仿宋" w:cs="仿宋"/>
          <w:sz w:val="24"/>
          <w:szCs w:val="24"/>
          <w:shd w:val="clear" w:color="auto" w:fill="FFFFFF"/>
        </w:rPr>
        <w:t>等</w:t>
      </w:r>
      <w:r>
        <w:rPr>
          <w:rFonts w:hint="eastAsia" w:ascii="仿宋" w:hAnsi="仿宋" w:eastAsia="仿宋" w:cs="仿宋"/>
          <w:sz w:val="24"/>
          <w:szCs w:val="24"/>
          <w:shd w:val="clear" w:color="auto" w:fill="FFFFFF"/>
          <w:lang w:val="en-US" w:eastAsia="zh-CN"/>
        </w:rPr>
        <w:t>7</w:t>
      </w:r>
      <w:r>
        <w:rPr>
          <w:rFonts w:hint="eastAsia" w:ascii="仿宋" w:hAnsi="仿宋" w:eastAsia="仿宋" w:cs="仿宋"/>
          <w:sz w:val="24"/>
          <w:szCs w:val="24"/>
          <w:shd w:val="clear" w:color="auto" w:fill="FFFFFF"/>
        </w:rPr>
        <w:t>项术语和定义。</w:t>
      </w:r>
    </w:p>
    <w:p w14:paraId="3EED991E">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第4章基本要求，明确安全保卫</w:t>
      </w:r>
      <w:r>
        <w:rPr>
          <w:rFonts w:hint="eastAsia" w:ascii="仿宋" w:hAnsi="仿宋" w:eastAsia="仿宋" w:cs="仿宋"/>
          <w:sz w:val="24"/>
          <w:szCs w:val="24"/>
          <w:shd w:val="clear" w:color="auto" w:fill="FFFFFF"/>
          <w:lang w:val="en-US" w:eastAsia="zh-CN"/>
        </w:rPr>
        <w:t>原则</w:t>
      </w:r>
      <w:r>
        <w:rPr>
          <w:rFonts w:hint="eastAsia" w:ascii="仿宋" w:hAnsi="仿宋" w:eastAsia="仿宋" w:cs="仿宋"/>
          <w:sz w:val="24"/>
          <w:szCs w:val="24"/>
          <w:shd w:val="clear" w:color="auto" w:fill="FFFFFF"/>
        </w:rPr>
        <w:t>，并对风险评估、</w:t>
      </w:r>
      <w:r>
        <w:rPr>
          <w:rFonts w:hint="eastAsia" w:ascii="仿宋" w:hAnsi="仿宋" w:eastAsia="仿宋" w:cs="仿宋"/>
          <w:sz w:val="24"/>
          <w:szCs w:val="24"/>
          <w:shd w:val="clear" w:color="auto" w:fill="FFFFFF"/>
          <w:lang w:val="en-US" w:eastAsia="zh-CN"/>
        </w:rPr>
        <w:t>安全保卫措施“三同时”</w:t>
      </w:r>
      <w:r>
        <w:rPr>
          <w:rFonts w:hint="eastAsia" w:ascii="仿宋" w:hAnsi="仿宋" w:eastAsia="仿宋" w:cs="仿宋"/>
          <w:sz w:val="24"/>
          <w:szCs w:val="24"/>
          <w:shd w:val="clear" w:color="auto" w:fill="FFFFFF"/>
        </w:rPr>
        <w:t>、</w:t>
      </w:r>
      <w:r>
        <w:rPr>
          <w:rFonts w:hint="eastAsia" w:ascii="仿宋" w:hAnsi="仿宋" w:eastAsia="仿宋" w:cs="仿宋"/>
          <w:sz w:val="24"/>
          <w:szCs w:val="24"/>
          <w:shd w:val="clear" w:color="auto" w:fill="FFFFFF"/>
          <w:lang w:val="en-US" w:eastAsia="zh-CN"/>
        </w:rPr>
        <w:t>联动机制</w:t>
      </w:r>
      <w:r>
        <w:rPr>
          <w:rFonts w:hint="eastAsia" w:ascii="仿宋" w:hAnsi="仿宋" w:eastAsia="仿宋" w:cs="仿宋"/>
          <w:sz w:val="24"/>
          <w:szCs w:val="24"/>
          <w:shd w:val="clear" w:color="auto" w:fill="FFFFFF"/>
        </w:rPr>
        <w:t>等相关要求进行了明确。</w:t>
      </w:r>
    </w:p>
    <w:p w14:paraId="71659C5C">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第5章机构</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岗位和</w:t>
      </w:r>
      <w:r>
        <w:rPr>
          <w:rFonts w:hint="eastAsia" w:ascii="仿宋" w:hAnsi="仿宋" w:eastAsia="仿宋" w:cs="仿宋"/>
          <w:sz w:val="24"/>
          <w:szCs w:val="24"/>
          <w:shd w:val="clear" w:color="auto" w:fill="FFFFFF"/>
        </w:rPr>
        <w:t>人员，明确了安全保卫领导机构、管理部门、保卫人员的配置和职责。</w:t>
      </w:r>
    </w:p>
    <w:p w14:paraId="622C6656">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第6章制度</w:t>
      </w:r>
      <w:r>
        <w:rPr>
          <w:rFonts w:hint="eastAsia" w:ascii="仿宋" w:hAnsi="仿宋" w:eastAsia="仿宋" w:cs="仿宋"/>
          <w:sz w:val="24"/>
          <w:szCs w:val="24"/>
          <w:shd w:val="clear" w:color="auto" w:fill="FFFFFF"/>
          <w:lang w:val="en-US" w:eastAsia="zh-CN"/>
        </w:rPr>
        <w:t>管理</w:t>
      </w:r>
      <w:r>
        <w:rPr>
          <w:rFonts w:hint="eastAsia" w:ascii="仿宋" w:hAnsi="仿宋" w:eastAsia="仿宋" w:cs="仿宋"/>
          <w:sz w:val="24"/>
          <w:szCs w:val="24"/>
          <w:shd w:val="clear" w:color="auto" w:fill="FFFFFF"/>
        </w:rPr>
        <w:t>，提出了安全保卫制度的内容、更新等方面应遵循的规范。</w:t>
      </w:r>
    </w:p>
    <w:p w14:paraId="5C5EE741">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第7章日常管理，明确了开闭馆管理、出入口管理、安全检查管理、值班值守管理、钥匙和门锁管理、证件管理、电子防范系统管理、</w:t>
      </w:r>
      <w:r>
        <w:rPr>
          <w:rFonts w:hint="eastAsia" w:ascii="仿宋" w:hAnsi="仿宋" w:eastAsia="仿宋" w:cs="仿宋"/>
          <w:sz w:val="24"/>
          <w:szCs w:val="24"/>
          <w:shd w:val="clear" w:color="auto" w:fill="FFFFFF"/>
          <w:lang w:eastAsia="zh-CN"/>
        </w:rPr>
        <w:t>布撤展安全管理</w:t>
      </w:r>
      <w:r>
        <w:rPr>
          <w:rFonts w:hint="eastAsia" w:ascii="仿宋" w:hAnsi="仿宋" w:eastAsia="仿宋" w:cs="仿宋"/>
          <w:sz w:val="24"/>
          <w:szCs w:val="24"/>
          <w:shd w:val="clear" w:color="auto" w:fill="FFFFFF"/>
        </w:rPr>
        <w:t>、重点部位安全管理、临时性活动</w:t>
      </w:r>
      <w:r>
        <w:rPr>
          <w:rFonts w:hint="default" w:ascii="仿宋" w:hAnsi="仿宋" w:eastAsia="仿宋" w:cs="仿宋"/>
          <w:sz w:val="24"/>
          <w:szCs w:val="24"/>
          <w:shd w:val="clear" w:color="auto" w:fill="FFFFFF"/>
          <w:lang w:val="en-US"/>
        </w:rPr>
        <w:t>安全监管</w:t>
      </w:r>
      <w:r>
        <w:rPr>
          <w:rFonts w:hint="eastAsia" w:ascii="仿宋" w:hAnsi="仿宋" w:eastAsia="仿宋" w:cs="仿宋"/>
          <w:sz w:val="24"/>
          <w:szCs w:val="24"/>
          <w:shd w:val="clear" w:color="auto" w:fill="FFFFFF"/>
        </w:rPr>
        <w:t>等工作应遵循的规范。</w:t>
      </w:r>
    </w:p>
    <w:p w14:paraId="706344E5">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w:t>
      </w:r>
      <w:r>
        <w:rPr>
          <w:rFonts w:hint="eastAsia" w:ascii="仿宋" w:hAnsi="仿宋" w:eastAsia="仿宋" w:cs="仿宋"/>
          <w:sz w:val="24"/>
          <w:szCs w:val="24"/>
          <w:shd w:val="clear" w:color="auto" w:fill="FFFFFF"/>
          <w:lang w:val="en-US" w:eastAsia="zh-CN"/>
        </w:rPr>
        <w:t>8</w:t>
      </w:r>
      <w:r>
        <w:rPr>
          <w:rFonts w:hint="eastAsia" w:ascii="仿宋" w:hAnsi="仿宋" w:eastAsia="仿宋" w:cs="仿宋"/>
          <w:sz w:val="24"/>
          <w:szCs w:val="24"/>
          <w:shd w:val="clear" w:color="auto" w:fill="FFFFFF"/>
        </w:rPr>
        <w:t>章</w:t>
      </w:r>
      <w:r>
        <w:rPr>
          <w:rFonts w:hint="eastAsia" w:ascii="仿宋" w:hAnsi="仿宋" w:eastAsia="仿宋" w:cs="仿宋"/>
          <w:sz w:val="24"/>
          <w:szCs w:val="24"/>
          <w:shd w:val="clear" w:color="auto" w:fill="FFFFFF"/>
          <w:lang w:val="en-US" w:eastAsia="zh-CN"/>
        </w:rPr>
        <w:t>应急</w:t>
      </w:r>
      <w:r>
        <w:rPr>
          <w:rFonts w:hint="eastAsia" w:ascii="仿宋" w:hAnsi="仿宋" w:eastAsia="仿宋" w:cs="仿宋"/>
          <w:sz w:val="24"/>
          <w:szCs w:val="24"/>
          <w:shd w:val="clear" w:color="auto" w:fill="FFFFFF"/>
        </w:rPr>
        <w:t>管理，明确了应按照WW/T 0111的要求，编制应急预案、组织应急演练、配备应急物资。</w:t>
      </w:r>
    </w:p>
    <w:p w14:paraId="26B4535A">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w:t>
      </w:r>
      <w:r>
        <w:rPr>
          <w:rFonts w:hint="eastAsia" w:ascii="仿宋" w:hAnsi="仿宋" w:eastAsia="仿宋" w:cs="仿宋"/>
          <w:sz w:val="24"/>
          <w:szCs w:val="24"/>
          <w:shd w:val="clear" w:color="auto" w:fill="FFFFFF"/>
          <w:lang w:val="en-US" w:eastAsia="zh-CN"/>
        </w:rPr>
        <w:t>9</w:t>
      </w:r>
      <w:r>
        <w:rPr>
          <w:rFonts w:hint="eastAsia" w:ascii="仿宋" w:hAnsi="仿宋" w:eastAsia="仿宋" w:cs="仿宋"/>
          <w:sz w:val="24"/>
          <w:szCs w:val="24"/>
          <w:shd w:val="clear" w:color="auto" w:fill="FFFFFF"/>
        </w:rPr>
        <w:t>章</w:t>
      </w:r>
      <w:r>
        <w:rPr>
          <w:rFonts w:hint="eastAsia" w:ascii="仿宋" w:hAnsi="仿宋" w:eastAsia="仿宋" w:cs="仿宋"/>
          <w:sz w:val="24"/>
          <w:szCs w:val="24"/>
          <w:shd w:val="clear" w:color="auto" w:fill="FFFFFF"/>
          <w:lang w:val="en-US" w:eastAsia="zh-CN"/>
        </w:rPr>
        <w:t>记录和改进</w:t>
      </w:r>
      <w:r>
        <w:rPr>
          <w:rFonts w:hint="eastAsia" w:ascii="仿宋" w:hAnsi="仿宋" w:eastAsia="仿宋" w:cs="仿宋"/>
          <w:sz w:val="24"/>
          <w:szCs w:val="24"/>
          <w:shd w:val="clear" w:color="auto" w:fill="FFFFFF"/>
        </w:rPr>
        <w:t>，明确了</w:t>
      </w:r>
      <w:r>
        <w:rPr>
          <w:rFonts w:hint="eastAsia" w:ascii="仿宋" w:hAnsi="仿宋" w:eastAsia="仿宋" w:cs="仿宋"/>
          <w:sz w:val="24"/>
          <w:szCs w:val="24"/>
          <w:shd w:val="clear" w:color="auto" w:fill="FFFFFF"/>
          <w:lang w:val="en-US" w:eastAsia="zh-CN"/>
        </w:rPr>
        <w:t>记录的主要内容和时限要求</w:t>
      </w:r>
      <w:r>
        <w:rPr>
          <w:rFonts w:hint="eastAsia" w:ascii="仿宋" w:hAnsi="仿宋" w:eastAsia="仿宋" w:cs="仿宋"/>
          <w:sz w:val="24"/>
          <w:szCs w:val="24"/>
          <w:shd w:val="clear" w:color="auto" w:fill="FFFFFF"/>
        </w:rPr>
        <w:t>。</w:t>
      </w:r>
    </w:p>
    <w:p w14:paraId="14E4FF05">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default"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附录A给出了观众禁带物品清单示例。</w:t>
      </w:r>
    </w:p>
    <w:p w14:paraId="3FDA85AD">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34" w:name="_Toc7442"/>
      <w:r>
        <w:rPr>
          <w:rFonts w:hint="eastAsia" w:ascii="仿宋" w:hAnsi="仿宋" w:eastAsia="仿宋" w:cs="仿宋"/>
          <w:sz w:val="24"/>
          <w:szCs w:val="24"/>
        </w:rPr>
        <w:t>术语和定义（第3章）</w:t>
      </w:r>
      <w:bookmarkEnd w:id="34"/>
    </w:p>
    <w:p w14:paraId="3D470840">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根据国家标准《标准化工作导则 第 1 部分：标准化文件的结构和起草规则》（GB/T 1.1—2020）的有关要求，</w:t>
      </w:r>
      <w:r>
        <w:rPr>
          <w:rFonts w:hint="eastAsia" w:ascii="仿宋" w:hAnsi="仿宋" w:eastAsia="仿宋" w:cs="仿宋"/>
          <w:sz w:val="24"/>
          <w:szCs w:val="24"/>
          <w:shd w:val="clear" w:color="auto" w:fill="FFFFFF"/>
          <w:lang w:val="en-US" w:eastAsia="zh-CN"/>
        </w:rPr>
        <w:t>参考</w:t>
      </w:r>
      <w:r>
        <w:rPr>
          <w:rFonts w:hint="eastAsia" w:ascii="仿宋" w:hAnsi="仿宋" w:eastAsia="仿宋" w:cs="仿宋"/>
          <w:sz w:val="24"/>
          <w:szCs w:val="24"/>
          <w:shd w:val="clear" w:color="auto" w:fill="FFFFFF"/>
          <w:lang w:val="en-US" w:eastAsia="zh-CN"/>
        </w:rPr>
        <w:fldChar w:fldCharType="begin"/>
      </w:r>
      <w:r>
        <w:rPr>
          <w:rFonts w:hint="eastAsia" w:ascii="仿宋" w:hAnsi="仿宋" w:eastAsia="仿宋" w:cs="仿宋"/>
          <w:sz w:val="24"/>
          <w:szCs w:val="24"/>
          <w:shd w:val="clear" w:color="auto" w:fill="FFFFFF"/>
          <w:lang w:val="en-US" w:eastAsia="zh-CN"/>
        </w:rPr>
        <w:instrText xml:space="preserve"> HYPERLINK "http://www.baidu.com/link?url=jVlScRfJknKk_YeSFqRSLOtxhFo5iXbjI0Bm_1zqL5NsQLe9Qh0v8lWdIS2Zbu5IHvfTD1SdxjPEsp72DnP9XK" \t "https://www.baidu.com/_blank" </w:instrText>
      </w:r>
      <w:r>
        <w:rPr>
          <w:rFonts w:hint="eastAsia" w:ascii="仿宋" w:hAnsi="仿宋" w:eastAsia="仿宋" w:cs="仿宋"/>
          <w:sz w:val="24"/>
          <w:szCs w:val="24"/>
          <w:shd w:val="clear" w:color="auto" w:fill="FFFFFF"/>
          <w:lang w:val="en-US" w:eastAsia="zh-CN"/>
        </w:rPr>
        <w:fldChar w:fldCharType="separate"/>
      </w:r>
      <w:r>
        <w:rPr>
          <w:rFonts w:hint="eastAsia" w:ascii="仿宋" w:hAnsi="仿宋" w:eastAsia="仿宋" w:cs="仿宋"/>
          <w:sz w:val="24"/>
          <w:szCs w:val="24"/>
          <w:shd w:val="clear" w:color="auto" w:fill="FFFFFF"/>
          <w:lang w:val="en-US" w:eastAsia="zh-CN"/>
        </w:rPr>
        <w:t>GA∕T 1279</w:t>
      </w:r>
      <w:r>
        <w:rPr>
          <w:rFonts w:hint="eastAsia" w:ascii="仿宋" w:hAnsi="仿宋" w:eastAsia="仿宋" w:cs="仿宋"/>
          <w:sz w:val="24"/>
          <w:szCs w:val="24"/>
          <w:shd w:val="clear" w:color="auto" w:fill="FFFFFF"/>
          <w:lang w:val="en-US" w:eastAsia="zh-CN"/>
        </w:rPr>
        <w:fldChar w:fldCharType="end"/>
      </w:r>
      <w:r>
        <w:rPr>
          <w:rFonts w:hint="eastAsia" w:ascii="仿宋" w:hAnsi="仿宋" w:eastAsia="仿宋" w:cs="仿宋"/>
          <w:sz w:val="24"/>
          <w:szCs w:val="24"/>
          <w:shd w:val="clear" w:color="auto" w:fill="FFFFFF"/>
          <w:lang w:val="en-US" w:eastAsia="zh-CN"/>
        </w:rPr>
        <w:t>-2015《保安员装备配备与管理要求》、GB 50348-2018《安全防范工程技术标准》等标准，</w:t>
      </w:r>
      <w:r>
        <w:rPr>
          <w:rFonts w:hint="eastAsia" w:ascii="仿宋" w:hAnsi="仿宋" w:eastAsia="仿宋" w:cs="仿宋"/>
          <w:sz w:val="24"/>
          <w:szCs w:val="24"/>
          <w:shd w:val="clear" w:color="auto" w:fill="FFFFFF"/>
        </w:rPr>
        <w:t>结合本文件内容需要，同时为便于对文件内容的理解，本文件给出了安全保卫人员</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出入口</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电子防范系统等</w:t>
      </w:r>
      <w:r>
        <w:rPr>
          <w:rFonts w:hint="eastAsia" w:ascii="仿宋" w:hAnsi="仿宋" w:eastAsia="仿宋" w:cs="仿宋"/>
          <w:sz w:val="24"/>
          <w:szCs w:val="24"/>
          <w:shd w:val="clear" w:color="auto" w:fill="FFFFFF"/>
          <w:lang w:val="en-US" w:eastAsia="zh-CN"/>
        </w:rPr>
        <w:t>7</w:t>
      </w:r>
      <w:r>
        <w:rPr>
          <w:rFonts w:hint="eastAsia" w:ascii="仿宋" w:hAnsi="仿宋" w:eastAsia="仿宋" w:cs="仿宋"/>
          <w:sz w:val="24"/>
          <w:szCs w:val="24"/>
          <w:shd w:val="clear" w:color="auto" w:fill="FFFFFF"/>
        </w:rPr>
        <w:t xml:space="preserve">个术语和定义。 </w:t>
      </w:r>
    </w:p>
    <w:p w14:paraId="69146740">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35" w:name="_Toc11927"/>
      <w:r>
        <w:rPr>
          <w:rFonts w:hint="eastAsia" w:ascii="仿宋" w:hAnsi="仿宋" w:eastAsia="仿宋" w:cs="仿宋"/>
          <w:sz w:val="24"/>
          <w:szCs w:val="24"/>
        </w:rPr>
        <w:t>基本要求（第4章）</w:t>
      </w:r>
      <w:bookmarkEnd w:id="35"/>
    </w:p>
    <w:p w14:paraId="4EC9E096">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第4章基本要求，给出了博物馆</w:t>
      </w:r>
      <w:r>
        <w:rPr>
          <w:rFonts w:hint="eastAsia" w:ascii="仿宋" w:hAnsi="仿宋" w:eastAsia="仿宋" w:cs="仿宋"/>
          <w:sz w:val="24"/>
          <w:szCs w:val="24"/>
          <w:lang w:val="en-US" w:eastAsia="zh-CN"/>
        </w:rPr>
        <w:t>基本原则以及风险评估、三同时、全员参与等相关要求</w:t>
      </w:r>
      <w:r>
        <w:rPr>
          <w:rFonts w:hint="eastAsia" w:ascii="仿宋" w:hAnsi="仿宋" w:eastAsia="仿宋" w:cs="仿宋"/>
          <w:sz w:val="24"/>
          <w:szCs w:val="24"/>
        </w:rPr>
        <w:t>。我国博物馆安全保卫管理相关的法律法规和规章制度主要是：（1）文化部1985年出台的《博物馆安全保卫工作规定》，（2）国务院令〔2004〕421号《企业事业单位内部治安保卫条例》，（3）公安部 公治安〔2021〕165号《关于加强文物博物馆单位治安防范工作的意见》。对博物馆安全保卫管理提出要求的年代比较早，未根据博物馆安全形势和安全管理要求及时修订，博物馆安全保卫管理整体处于“依靠性”阶段，大多数博物馆安全管理缺乏顶层设计和体系化管理，缺少系统管理方法和持续改进工作机制，未实现人防、物防、技防“三防合一”的有机结合。因此需要引入安全管理体系理念，构建“策划－实施－检查－改进”（PDCA）持续改进模式，开展安全威胁识别、风险评估，完善安全保卫制度和安全保卫防范措施，实施关键过程控制，落实值班值守、巡逻守护、巡查检查、安防设施设备维护、安全隐患整改、安全教育培训等管理制度，确保安全保卫工作有章可循、有迹可查、落实到位。</w:t>
      </w:r>
    </w:p>
    <w:p w14:paraId="31B9A845">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“4.1”依据</w:t>
      </w:r>
      <w:r>
        <w:rPr>
          <w:rFonts w:hint="eastAsia" w:ascii="仿宋" w:hAnsi="仿宋" w:eastAsia="仿宋" w:cs="仿宋"/>
          <w:sz w:val="24"/>
          <w:szCs w:val="24"/>
          <w:lang w:eastAsia="zh-CN"/>
        </w:rPr>
        <w:t>《中华人民共和国文物保护法》</w:t>
      </w:r>
      <w:r>
        <w:rPr>
          <w:rFonts w:hint="eastAsia" w:ascii="仿宋" w:hAnsi="仿宋" w:eastAsia="仿宋" w:cs="仿宋"/>
          <w:sz w:val="24"/>
          <w:szCs w:val="24"/>
        </w:rPr>
        <w:t>《企业事业单位内部治安保卫条例》</w:t>
      </w:r>
      <w:r>
        <w:rPr>
          <w:rFonts w:hint="eastAsia" w:ascii="仿宋" w:hAnsi="仿宋" w:eastAsia="仿宋" w:cs="仿宋"/>
          <w:sz w:val="24"/>
          <w:szCs w:val="24"/>
          <w:lang w:val="en-US" w:eastAsia="zh-CN"/>
        </w:rPr>
        <w:t>以及《国家文物局关于加强文物博物馆单位开放安全管理工作的通知》等文件</w:t>
      </w:r>
      <w:r>
        <w:rPr>
          <w:rFonts w:hint="eastAsia" w:ascii="仿宋" w:hAnsi="仿宋" w:eastAsia="仿宋" w:cs="仿宋"/>
          <w:sz w:val="24"/>
          <w:szCs w:val="24"/>
        </w:rPr>
        <w:t>，明确了博物馆的安全保卫</w:t>
      </w:r>
      <w:r>
        <w:rPr>
          <w:rFonts w:hint="eastAsia" w:ascii="仿宋" w:hAnsi="仿宋" w:eastAsia="仿宋" w:cs="仿宋"/>
          <w:sz w:val="24"/>
          <w:szCs w:val="24"/>
          <w:lang w:val="en-US" w:eastAsia="zh-CN"/>
        </w:rPr>
        <w:t>的原则，即“安全第一、预防为主、以人为本，保护文物，协同联动、持续改进”</w:t>
      </w:r>
      <w:r>
        <w:rPr>
          <w:rFonts w:hint="eastAsia" w:ascii="仿宋" w:hAnsi="仿宋" w:eastAsia="仿宋" w:cs="仿宋"/>
          <w:sz w:val="24"/>
          <w:szCs w:val="24"/>
        </w:rPr>
        <w:t>。</w:t>
      </w:r>
    </w:p>
    <w:p w14:paraId="54E84C37">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“4.2”</w:t>
      </w:r>
      <w:r>
        <w:rPr>
          <w:rFonts w:hint="eastAsia" w:ascii="仿宋" w:hAnsi="仿宋" w:eastAsia="仿宋" w:cs="仿宋"/>
          <w:sz w:val="24"/>
          <w:szCs w:val="24"/>
          <w:lang w:val="en-US" w:eastAsia="zh-CN"/>
        </w:rPr>
        <w:t>提出了风险评估的相关要求</w:t>
      </w:r>
      <w:r>
        <w:rPr>
          <w:rFonts w:hint="eastAsia" w:ascii="仿宋" w:hAnsi="仿宋" w:eastAsia="仿宋" w:cs="仿宋"/>
          <w:sz w:val="24"/>
          <w:szCs w:val="24"/>
        </w:rPr>
        <w:t>。文博系统安全风险评估机制不健全，管理规则和流程缺乏动态更新机制。安全管理制度制修订来源于经验和各级监管要求，当前风险评估工作主要是通过安全生产标准化、消防类，双重预防体系建设等工作开展，仅少数博物馆有明确的制度更新机制。博物馆安全威胁识别、风险评估和风险管理是一个成功的安全管理体系的核心，因此博物馆安全保卫风险评估</w:t>
      </w:r>
      <w:r>
        <w:rPr>
          <w:rFonts w:hint="eastAsia" w:ascii="仿宋" w:hAnsi="仿宋" w:eastAsia="仿宋" w:cs="仿宋"/>
          <w:sz w:val="24"/>
          <w:szCs w:val="24"/>
          <w:lang w:val="en-US" w:eastAsia="zh-CN"/>
        </w:rPr>
        <w:t>是安全保卫工作组织实施中的重要环节，需要依据</w:t>
      </w:r>
      <w:r>
        <w:rPr>
          <w:rFonts w:hint="eastAsia" w:ascii="仿宋" w:hAnsi="仿宋" w:eastAsia="仿宋" w:cs="仿宋"/>
          <w:sz w:val="24"/>
          <w:szCs w:val="24"/>
          <w:lang w:val="en-US" w:eastAsia="zh-CN"/>
        </w:rPr>
        <w:fldChar w:fldCharType="begin"/>
      </w:r>
      <w:r>
        <w:rPr>
          <w:rFonts w:hint="eastAsia" w:ascii="仿宋" w:hAnsi="仿宋" w:eastAsia="仿宋" w:cs="仿宋"/>
          <w:sz w:val="24"/>
          <w:szCs w:val="24"/>
          <w:lang w:val="en-US" w:eastAsia="zh-CN"/>
        </w:rPr>
        <w:instrText xml:space="preserve"> HYPERLINK "javascript:void(0)" </w:instrText>
      </w:r>
      <w:r>
        <w:rPr>
          <w:rFonts w:hint="eastAsia" w:ascii="仿宋" w:hAnsi="仿宋" w:eastAsia="仿宋" w:cs="仿宋"/>
          <w:sz w:val="24"/>
          <w:szCs w:val="24"/>
          <w:lang w:val="en-US" w:eastAsia="zh-CN"/>
        </w:rPr>
        <w:fldChar w:fldCharType="separate"/>
      </w:r>
      <w:r>
        <w:rPr>
          <w:rFonts w:hint="eastAsia" w:ascii="仿宋" w:hAnsi="仿宋" w:eastAsia="仿宋" w:cs="仿宋"/>
          <w:sz w:val="24"/>
          <w:szCs w:val="24"/>
          <w:lang w:val="en-US" w:eastAsia="zh-CN"/>
        </w:rPr>
        <w:t>GB/T 24353、</w:t>
      </w:r>
      <w:r>
        <w:rPr>
          <w:rFonts w:hint="eastAsia" w:ascii="仿宋" w:hAnsi="仿宋" w:eastAsia="仿宋" w:cs="仿宋"/>
          <w:sz w:val="24"/>
          <w:szCs w:val="24"/>
          <w:lang w:val="en-US" w:eastAsia="zh-CN"/>
        </w:rPr>
        <w:fldChar w:fldCharType="end"/>
      </w:r>
      <w:r>
        <w:rPr>
          <w:rFonts w:hint="eastAsia" w:ascii="仿宋" w:hAnsi="仿宋" w:eastAsia="仿宋" w:cs="仿宋"/>
          <w:sz w:val="24"/>
          <w:szCs w:val="24"/>
          <w:lang w:val="en-US" w:eastAsia="zh-CN"/>
        </w:rPr>
        <w:fldChar w:fldCharType="begin"/>
      </w:r>
      <w:r>
        <w:rPr>
          <w:rFonts w:hint="eastAsia" w:ascii="仿宋" w:hAnsi="仿宋" w:eastAsia="仿宋" w:cs="仿宋"/>
          <w:sz w:val="24"/>
          <w:szCs w:val="24"/>
          <w:lang w:val="en-US" w:eastAsia="zh-CN"/>
        </w:rPr>
        <w:instrText xml:space="preserve"> HYPERLINK "javascript:void(0)" </w:instrText>
      </w:r>
      <w:r>
        <w:rPr>
          <w:rFonts w:hint="eastAsia" w:ascii="仿宋" w:hAnsi="仿宋" w:eastAsia="仿宋" w:cs="仿宋"/>
          <w:sz w:val="24"/>
          <w:szCs w:val="24"/>
          <w:lang w:val="en-US" w:eastAsia="zh-CN"/>
        </w:rPr>
        <w:fldChar w:fldCharType="separate"/>
      </w:r>
      <w:r>
        <w:rPr>
          <w:rFonts w:hint="eastAsia" w:ascii="仿宋" w:hAnsi="仿宋" w:eastAsia="仿宋" w:cs="仿宋"/>
          <w:sz w:val="24"/>
          <w:szCs w:val="24"/>
          <w:lang w:val="en-US" w:eastAsia="zh-CN"/>
        </w:rPr>
        <w:t>GB/T 27921</w:t>
      </w:r>
      <w:r>
        <w:rPr>
          <w:rFonts w:hint="eastAsia" w:ascii="仿宋" w:hAnsi="仿宋" w:eastAsia="仿宋" w:cs="仿宋"/>
          <w:sz w:val="24"/>
          <w:szCs w:val="24"/>
          <w:lang w:val="en-US" w:eastAsia="zh-CN"/>
        </w:rPr>
        <w:fldChar w:fldCharType="end"/>
      </w:r>
      <w:r>
        <w:rPr>
          <w:rFonts w:hint="eastAsia" w:ascii="仿宋" w:hAnsi="仿宋" w:eastAsia="仿宋" w:cs="仿宋"/>
          <w:sz w:val="24"/>
          <w:szCs w:val="24"/>
          <w:lang w:val="en-US" w:eastAsia="zh-CN"/>
        </w:rPr>
        <w:t>开展安全保卫风险评估</w:t>
      </w:r>
      <w:r>
        <w:rPr>
          <w:rFonts w:hint="eastAsia" w:ascii="仿宋" w:hAnsi="仿宋" w:eastAsia="仿宋" w:cs="仿宋"/>
          <w:sz w:val="24"/>
          <w:szCs w:val="24"/>
        </w:rPr>
        <w:t>。</w:t>
      </w:r>
    </w:p>
    <w:p w14:paraId="6B5FD6CB">
      <w:pPr>
        <w:pageBreakBefore w:val="0"/>
        <w:widowControl w:val="0"/>
        <w:kinsoku/>
        <w:wordWrap/>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shd w:val="clear" w:color="auto" w:fill="FFFFFF"/>
          <w:lang w:eastAsia="zh-CN"/>
        </w:rPr>
      </w:pPr>
      <w:r>
        <w:rPr>
          <w:rFonts w:hint="eastAsia" w:ascii="仿宋" w:hAnsi="仿宋" w:eastAsia="仿宋" w:cs="仿宋"/>
          <w:sz w:val="24"/>
          <w:szCs w:val="24"/>
        </w:rPr>
        <w:t>“4.</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shd w:val="clear" w:color="auto" w:fill="FFFFFF"/>
        </w:rPr>
        <w:t>考虑到博物馆安全保卫工作需要博物馆各部门的参与，安全保卫工作要强化预防为主、源头控制，特别提出“安全保卫措施应与新建、改建、扩建工程及展览、教育等主体业务活动同时设计、同时施工、同时投入使用”的要求</w:t>
      </w:r>
      <w:r>
        <w:rPr>
          <w:rFonts w:hint="eastAsia" w:ascii="仿宋" w:hAnsi="仿宋" w:eastAsia="仿宋" w:cs="仿宋"/>
          <w:sz w:val="24"/>
          <w:szCs w:val="24"/>
          <w:shd w:val="clear" w:color="auto" w:fill="FFFFFF"/>
          <w:lang w:eastAsia="zh-CN"/>
        </w:rPr>
        <w:t>。</w:t>
      </w:r>
    </w:p>
    <w:p w14:paraId="182E70FE">
      <w:pPr>
        <w:pageBreakBefore w:val="0"/>
        <w:widowControl w:val="0"/>
        <w:kinsoku/>
        <w:wordWrap/>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“4.4”提出了</w:t>
      </w:r>
      <w:r>
        <w:rPr>
          <w:rFonts w:hint="eastAsia" w:ascii="仿宋" w:hAnsi="仿宋" w:eastAsia="仿宋" w:cs="仿宋"/>
          <w:sz w:val="24"/>
          <w:szCs w:val="24"/>
          <w:shd w:val="clear" w:color="auto" w:fill="FFFFFF"/>
        </w:rPr>
        <w:t>建立全员参与的机制，发挥讲解员、保洁员、志愿者及其他现场工作人员在安全隐患</w:t>
      </w:r>
      <w:r>
        <w:rPr>
          <w:rFonts w:hint="eastAsia" w:ascii="仿宋" w:hAnsi="仿宋" w:eastAsia="仿宋" w:cs="仿宋"/>
          <w:sz w:val="24"/>
          <w:szCs w:val="24"/>
          <w:shd w:val="clear" w:color="auto" w:fill="FFFFFF"/>
          <w:lang w:val="en-US" w:eastAsia="zh-CN"/>
        </w:rPr>
        <w:t>排查</w:t>
      </w:r>
      <w:r>
        <w:rPr>
          <w:rFonts w:hint="eastAsia" w:ascii="仿宋" w:hAnsi="仿宋" w:eastAsia="仿宋" w:cs="仿宋"/>
          <w:sz w:val="24"/>
          <w:szCs w:val="24"/>
          <w:shd w:val="clear" w:color="auto" w:fill="FFFFFF"/>
        </w:rPr>
        <w:t>、突发事件发现与上报方面的作用</w:t>
      </w:r>
      <w:r>
        <w:rPr>
          <w:rFonts w:hint="eastAsia" w:ascii="仿宋" w:hAnsi="仿宋" w:eastAsia="仿宋" w:cs="仿宋"/>
          <w:sz w:val="24"/>
          <w:szCs w:val="24"/>
          <w:shd w:val="clear" w:color="auto" w:fill="FFFFFF"/>
          <w:lang w:eastAsia="zh-CN"/>
        </w:rPr>
        <w:t>。</w:t>
      </w:r>
    </w:p>
    <w:p w14:paraId="105BEF55">
      <w:pPr>
        <w:pageBreakBefore w:val="0"/>
        <w:widowControl w:val="0"/>
        <w:kinsoku/>
        <w:wordWrap/>
        <w:topLinePunct w:val="0"/>
        <w:autoSpaceDE/>
        <w:autoSpaceDN/>
        <w:bidi w:val="0"/>
        <w:adjustRightInd/>
        <w:snapToGrid w:val="0"/>
        <w:spacing w:line="400" w:lineRule="exact"/>
        <w:ind w:firstLine="480" w:firstLineChars="200"/>
        <w:textAlignment w:val="auto"/>
        <w:rPr>
          <w:rFonts w:hint="default"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此外，</w:t>
      </w:r>
      <w:r>
        <w:rPr>
          <w:rFonts w:hint="eastAsia" w:ascii="仿宋" w:hAnsi="仿宋" w:eastAsia="仿宋" w:cs="仿宋"/>
          <w:sz w:val="24"/>
          <w:szCs w:val="24"/>
          <w:shd w:val="clear" w:color="auto" w:fill="FFFFFF"/>
        </w:rPr>
        <w:t>《关于加强文物博物馆单位治安防范工作的意见》（公治安〔2021〕1685号）</w:t>
      </w:r>
      <w:r>
        <w:rPr>
          <w:rFonts w:hint="eastAsia" w:ascii="仿宋" w:hAnsi="仿宋" w:eastAsia="仿宋" w:cs="仿宋"/>
          <w:sz w:val="24"/>
          <w:szCs w:val="24"/>
          <w:shd w:val="clear" w:color="auto" w:fill="FFFFFF"/>
          <w:lang w:val="en-US" w:eastAsia="zh-CN"/>
        </w:rPr>
        <w:t>要求“要切实强化文物博物馆单位及周边治安防控，加强联合巡逻防控，加强治安隐患排查整治”，《博物馆公共安全应急管理规范》WW/T 0111-2023的7.3.2.3提出“博物馆宜掌握周边区域内可依托的应急救援队伍信息，包括相关的消防救援、公安、武警、医疗急救等单位，明确其名称、地点、规模、联系方式、紧急情况下到达该博物馆需要的时间等信息”，因此“4.5”明确了博物馆应建立与公安、消防救援、武警、医疗急救等专业机构及周边单位的联动机制，明确信息通报、应急支援的程序和方式。</w:t>
      </w:r>
    </w:p>
    <w:p w14:paraId="6EC0B89D">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36" w:name="_Toc12710"/>
      <w:r>
        <w:rPr>
          <w:rFonts w:hint="eastAsia" w:ascii="仿宋" w:hAnsi="仿宋" w:eastAsia="仿宋" w:cs="仿宋"/>
          <w:sz w:val="24"/>
          <w:szCs w:val="24"/>
        </w:rPr>
        <w:t>机构、岗位和人员（第5章）</w:t>
      </w:r>
      <w:bookmarkEnd w:id="36"/>
    </w:p>
    <w:p w14:paraId="727748AE">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5章机构、岗位和人员，分成两个部分，其中“5.1机构”给出了博物馆安全保卫领导机构、安全保卫部门的工作职责和配备规则，“5.2岗位和人员”给出了博物馆安全保卫人员的配备规则和能力胜任要求，强调人员稳定性、全员参与和岗位能力评估。</w:t>
      </w:r>
    </w:p>
    <w:p w14:paraId="652C3FE8">
      <w:pPr>
        <w:pageBreakBefore w:val="0"/>
        <w:widowControl w:val="0"/>
        <w:numPr>
          <w:ilvl w:val="0"/>
          <w:numId w:val="5"/>
        </w:numPr>
        <w:kinsoku/>
        <w:wordWrap/>
        <w:topLinePunct w:val="0"/>
        <w:autoSpaceDE/>
        <w:autoSpaceDN/>
        <w:bidi w:val="0"/>
        <w:adjustRightInd/>
        <w:spacing w:line="400" w:lineRule="exact"/>
        <w:ind w:firstLine="480" w:firstLineChars="200"/>
        <w:textAlignment w:val="auto"/>
        <w:outlineLvl w:val="1"/>
        <w:rPr>
          <w:rFonts w:hint="eastAsia" w:ascii="仿宋" w:hAnsi="仿宋" w:eastAsia="仿宋" w:cs="仿宋"/>
          <w:sz w:val="24"/>
          <w:szCs w:val="24"/>
        </w:rPr>
      </w:pPr>
      <w:bookmarkStart w:id="37" w:name="_Toc27791"/>
      <w:r>
        <w:rPr>
          <w:rFonts w:hint="eastAsia" w:ascii="仿宋" w:hAnsi="仿宋" w:eastAsia="仿宋" w:cs="仿宋"/>
          <w:sz w:val="24"/>
          <w:szCs w:val="24"/>
        </w:rPr>
        <w:t>机构</w:t>
      </w:r>
      <w:bookmarkEnd w:id="37"/>
    </w:p>
    <w:p w14:paraId="6D9C9B7E">
      <w:pPr>
        <w:pageBreakBefore w:val="0"/>
        <w:widowControl w:val="0"/>
        <w:kinsoku/>
        <w:wordWrap/>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博物馆安全保卫工作规定》第二条提出“实行逐级安全岗位责任制”，GB/T45001-2020/ISO45001:2018《职业健康安全管理体系要求及使用指南安全管理体系》明确指出“职业健康安全管理体系的成功取决于领导作用、承诺以及组织各层次和职能的参与”，《中华人民共和国安全生产法》</w:t>
      </w:r>
      <w:r>
        <w:rPr>
          <w:rFonts w:hint="eastAsia" w:ascii="仿宋" w:hAnsi="仿宋" w:eastAsia="仿宋" w:cs="仿宋"/>
          <w:sz w:val="24"/>
          <w:szCs w:val="24"/>
          <w:lang w:eastAsia="zh-CN"/>
        </w:rPr>
        <w:t>第五条</w:t>
      </w:r>
      <w:r>
        <w:rPr>
          <w:rFonts w:hint="eastAsia" w:ascii="仿宋" w:hAnsi="仿宋" w:eastAsia="仿宋" w:cs="仿宋"/>
          <w:sz w:val="24"/>
          <w:szCs w:val="24"/>
        </w:rPr>
        <w:t>明确“第五条 生产经营单位的主要负责人是本单位安全生产第一责任人，对本单位的安全生产工作全面负责”因此“5.1.1”要求建立博物馆安全保卫领导机构，明确其主要职责，建立安全保卫责任制和签订安全保卫责任书。</w:t>
      </w:r>
    </w:p>
    <w:p w14:paraId="2C06266A">
      <w:pPr>
        <w:pageBreakBefore w:val="0"/>
        <w:widowControl w:val="0"/>
        <w:kinsoku/>
        <w:wordWrap/>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rPr>
        <w:t>《博物馆安全保卫工作规定》第五条规定“中央直属、省、自治区、直辖市的博物馆和藏品较多的地、市博物馆，应设立保卫处、科；其他地方的博物馆，应设保卫股或专职保卫干部”。《企业事业单位内部治安保卫条例》第六条规定“单位应当根据内部治安保卫工作需要，设置治安保卫机构或者配备专职、兼职治安保卫人员。治安保卫重点单位应当设置与治安保卫任务相适应的治安保卫机构，配备专职治安保卫人员，并将治安保卫机构的设置和人员的配备情况报主管公安机关备案”。《博物馆定级评估标准（2019年12月）》</w:t>
      </w:r>
      <w:r>
        <w:rPr>
          <w:rFonts w:hint="eastAsia" w:ascii="仿宋" w:hAnsi="仿宋" w:eastAsia="仿宋" w:cs="仿宋"/>
          <w:sz w:val="24"/>
          <w:szCs w:val="24"/>
          <w:shd w:val="clear" w:color="auto" w:fill="FFFFFF"/>
        </w:rPr>
        <w:t>“7</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6”“7</w:t>
      </w:r>
      <w:r>
        <w:rPr>
          <w:rFonts w:hint="eastAsia" w:ascii="仿宋" w:hAnsi="仿宋" w:eastAsia="仿宋" w:cs="仿宋"/>
          <w:sz w:val="24"/>
          <w:szCs w:val="24"/>
        </w:rPr>
        <w:t>.</w:t>
      </w:r>
      <w:r>
        <w:rPr>
          <w:rFonts w:hint="eastAsia" w:ascii="仿宋" w:hAnsi="仿宋" w:eastAsia="仿宋" w:cs="仿宋"/>
          <w:sz w:val="24"/>
          <w:szCs w:val="24"/>
          <w:shd w:val="clear" w:color="auto" w:fill="FFFFFF"/>
        </w:rPr>
        <w:t>2</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6”“7</w:t>
      </w:r>
      <w:r>
        <w:rPr>
          <w:rFonts w:hint="eastAsia" w:ascii="仿宋" w:hAnsi="仿宋" w:eastAsia="仿宋" w:cs="仿宋"/>
          <w:sz w:val="24"/>
          <w:szCs w:val="24"/>
        </w:rPr>
        <w:t>.</w:t>
      </w:r>
      <w:r>
        <w:rPr>
          <w:rFonts w:hint="eastAsia" w:ascii="仿宋" w:hAnsi="仿宋" w:eastAsia="仿宋" w:cs="仿宋"/>
          <w:sz w:val="24"/>
          <w:szCs w:val="24"/>
          <w:shd w:val="clear" w:color="auto" w:fill="FFFFFF"/>
        </w:rPr>
        <w:t>3</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6”分别对一级博物馆、二级博物馆、三级博物馆成立安全保卫管理机构设置和人员配备提出了要求，“7</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6”规定一级博物馆“有与博物馆规模相适应的管理规范、人员配置齐全的保卫工作机构；保卫人员受过专业培训，素质高、业务精，工作程序规范、准确” ，“7</w:t>
      </w:r>
      <w:r>
        <w:rPr>
          <w:rFonts w:hint="eastAsia" w:ascii="仿宋" w:hAnsi="仿宋" w:eastAsia="仿宋" w:cs="仿宋"/>
          <w:sz w:val="24"/>
          <w:szCs w:val="24"/>
        </w:rPr>
        <w:t>.</w:t>
      </w:r>
      <w:r>
        <w:rPr>
          <w:rFonts w:hint="eastAsia" w:ascii="仿宋" w:hAnsi="仿宋" w:eastAsia="仿宋" w:cs="仿宋"/>
          <w:sz w:val="24"/>
          <w:szCs w:val="24"/>
          <w:shd w:val="clear" w:color="auto" w:fill="FFFFFF"/>
        </w:rPr>
        <w:t>2</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6”规定二级博物馆“有与博物馆规模相适应的管理规范、人员配置齐全的保卫工作机构；保卫人员受过专业培训，工作程序规范”，“7</w:t>
      </w:r>
      <w:r>
        <w:rPr>
          <w:rFonts w:hint="eastAsia" w:ascii="仿宋" w:hAnsi="仿宋" w:eastAsia="仿宋" w:cs="仿宋"/>
          <w:sz w:val="24"/>
          <w:szCs w:val="24"/>
        </w:rPr>
        <w:t>.</w:t>
      </w:r>
      <w:r>
        <w:rPr>
          <w:rFonts w:hint="eastAsia" w:ascii="仿宋" w:hAnsi="仿宋" w:eastAsia="仿宋" w:cs="仿宋"/>
          <w:sz w:val="24"/>
          <w:szCs w:val="24"/>
          <w:shd w:val="clear" w:color="auto" w:fill="FFFFFF"/>
        </w:rPr>
        <w:t>3</w:t>
      </w:r>
      <w:r>
        <w:rPr>
          <w:rFonts w:hint="eastAsia" w:ascii="仿宋" w:hAnsi="仿宋" w:eastAsia="仿宋" w:cs="仿宋"/>
          <w:sz w:val="24"/>
          <w:szCs w:val="24"/>
        </w:rPr>
        <w:t>.</w:t>
      </w:r>
      <w:r>
        <w:rPr>
          <w:rFonts w:hint="eastAsia" w:ascii="仿宋" w:hAnsi="仿宋" w:eastAsia="仿宋" w:cs="仿宋"/>
          <w:sz w:val="24"/>
          <w:szCs w:val="24"/>
          <w:shd w:val="clear" w:color="auto" w:fill="FFFFFF"/>
        </w:rPr>
        <w:t>1</w:t>
      </w:r>
      <w:r>
        <w:rPr>
          <w:rFonts w:hint="eastAsia" w:ascii="仿宋" w:hAnsi="仿宋" w:eastAsia="仿宋" w:cs="仿宋"/>
          <w:sz w:val="24"/>
          <w:szCs w:val="24"/>
        </w:rPr>
        <w:t>.</w:t>
      </w:r>
      <w:r>
        <w:rPr>
          <w:rFonts w:hint="eastAsia" w:ascii="仿宋" w:hAnsi="仿宋" w:eastAsia="仿宋" w:cs="仿宋"/>
          <w:sz w:val="24"/>
          <w:szCs w:val="24"/>
          <w:shd w:val="clear" w:color="auto" w:fill="FFFFFF"/>
        </w:rPr>
        <w:t>6”规定三级博物馆“有与博物馆规模相适应的专职保卫人员；保卫人员受过专业培训，工作程序规范”。公安部 公治安〔2021〕165号《加强文物博物馆单位治安防范工作的意见》（九）充实治安防范力量规定“各文物博物馆单位特别是列为治安保卫重点的单位，要设置专门治安保卫机构，配备与治安保卫任务相适应的专职治安保卫人员”。</w:t>
      </w:r>
      <w:r>
        <w:rPr>
          <w:rFonts w:hint="eastAsia" w:ascii="仿宋" w:hAnsi="仿宋" w:eastAsia="仿宋" w:cs="仿宋"/>
          <w:sz w:val="24"/>
          <w:szCs w:val="24"/>
          <w:lang w:eastAsia="zh-CN"/>
        </w:rPr>
        <w:t>《博物馆公共安全应急管理规范》</w:t>
      </w:r>
      <w:r>
        <w:rPr>
          <w:rFonts w:hint="eastAsia" w:ascii="仿宋" w:hAnsi="仿宋" w:eastAsia="仿宋" w:cs="仿宋"/>
          <w:sz w:val="24"/>
          <w:szCs w:val="24"/>
        </w:rPr>
        <w:t>WW/T 0111</w:t>
      </w:r>
      <w:r>
        <w:rPr>
          <w:rFonts w:hint="eastAsia" w:ascii="仿宋" w:hAnsi="仿宋" w:eastAsia="仿宋" w:cs="仿宋"/>
          <w:sz w:val="24"/>
          <w:szCs w:val="24"/>
          <w:lang w:val="en-US" w:eastAsia="zh-CN"/>
        </w:rPr>
        <w:t>-2023的7.3.2.2提出“大型及以上博物馆宜建立专业安全保卫队伍，中型博物馆宜配备专职安全保卫人员，小型博物馆宜有安全保卫人员”。</w:t>
      </w:r>
      <w:r>
        <w:rPr>
          <w:rFonts w:hint="eastAsia" w:ascii="仿宋" w:hAnsi="仿宋" w:eastAsia="仿宋" w:cs="仿宋"/>
          <w:sz w:val="24"/>
          <w:szCs w:val="24"/>
          <w:shd w:val="clear" w:color="auto" w:fill="FFFFFF"/>
        </w:rPr>
        <w:t>综合上面四个文件的规定，本标准“5.1.</w:t>
      </w:r>
      <w:r>
        <w:rPr>
          <w:rFonts w:hint="eastAsia" w:ascii="仿宋" w:hAnsi="仿宋" w:eastAsia="仿宋" w:cs="仿宋"/>
          <w:sz w:val="24"/>
          <w:szCs w:val="24"/>
          <w:shd w:val="clear" w:color="auto" w:fill="FFFFFF"/>
          <w:lang w:val="en-US" w:eastAsia="zh-CN"/>
        </w:rPr>
        <w:t>1</w:t>
      </w:r>
      <w:r>
        <w:rPr>
          <w:rFonts w:hint="eastAsia" w:ascii="仿宋" w:hAnsi="仿宋" w:eastAsia="仿宋" w:cs="仿宋"/>
          <w:sz w:val="24"/>
          <w:szCs w:val="24"/>
          <w:shd w:val="clear" w:color="auto" w:fill="FFFFFF"/>
        </w:rPr>
        <w:t>”给出了博物馆安全保卫</w:t>
      </w:r>
      <w:r>
        <w:rPr>
          <w:rFonts w:hint="eastAsia" w:ascii="仿宋" w:hAnsi="仿宋" w:eastAsia="仿宋" w:cs="仿宋"/>
          <w:sz w:val="24"/>
          <w:szCs w:val="24"/>
          <w:shd w:val="clear" w:color="auto" w:fill="FFFFFF"/>
          <w:lang w:val="en-US" w:eastAsia="zh-CN"/>
        </w:rPr>
        <w:t>领导机构的职责，“5.1.2”给出了安全保卫</w:t>
      </w:r>
      <w:r>
        <w:rPr>
          <w:rFonts w:hint="eastAsia" w:ascii="仿宋" w:hAnsi="仿宋" w:eastAsia="仿宋" w:cs="仿宋"/>
          <w:sz w:val="24"/>
          <w:szCs w:val="24"/>
          <w:shd w:val="clear" w:color="auto" w:fill="FFFFFF"/>
        </w:rPr>
        <w:t>部门和安全保卫人员</w:t>
      </w:r>
      <w:r>
        <w:rPr>
          <w:rFonts w:hint="eastAsia" w:ascii="仿宋" w:hAnsi="仿宋" w:eastAsia="仿宋" w:cs="仿宋"/>
          <w:sz w:val="24"/>
          <w:szCs w:val="24"/>
          <w:shd w:val="clear" w:color="auto" w:fill="FFFFFF"/>
          <w:lang w:val="en-US" w:eastAsia="zh-CN"/>
        </w:rPr>
        <w:t>配备</w:t>
      </w:r>
      <w:r>
        <w:rPr>
          <w:rFonts w:hint="eastAsia" w:ascii="仿宋" w:hAnsi="仿宋" w:eastAsia="仿宋" w:cs="仿宋"/>
          <w:sz w:val="24"/>
          <w:szCs w:val="24"/>
          <w:shd w:val="clear" w:color="auto" w:fill="FFFFFF"/>
        </w:rPr>
        <w:t>的</w:t>
      </w:r>
      <w:r>
        <w:rPr>
          <w:rFonts w:hint="eastAsia" w:ascii="仿宋" w:hAnsi="仿宋" w:eastAsia="仿宋" w:cs="仿宋"/>
          <w:sz w:val="24"/>
          <w:szCs w:val="24"/>
          <w:shd w:val="clear" w:color="auto" w:fill="FFFFFF"/>
          <w:lang w:val="en-US" w:eastAsia="zh-CN"/>
        </w:rPr>
        <w:t>整体</w:t>
      </w:r>
      <w:r>
        <w:rPr>
          <w:rFonts w:hint="eastAsia" w:ascii="仿宋" w:hAnsi="仿宋" w:eastAsia="仿宋" w:cs="仿宋"/>
          <w:sz w:val="24"/>
          <w:szCs w:val="24"/>
          <w:shd w:val="clear" w:color="auto" w:fill="FFFFFF"/>
        </w:rPr>
        <w:t>要求，“5.1.3”给出了安全保卫部门的主要</w:t>
      </w:r>
      <w:r>
        <w:rPr>
          <w:rFonts w:hint="eastAsia" w:ascii="仿宋" w:hAnsi="仿宋" w:eastAsia="仿宋" w:cs="仿宋"/>
          <w:sz w:val="24"/>
          <w:szCs w:val="24"/>
          <w:shd w:val="clear" w:color="auto" w:fill="FFFFFF"/>
          <w:lang w:val="en-US" w:eastAsia="zh-CN"/>
        </w:rPr>
        <w:t>职责</w:t>
      </w:r>
      <w:r>
        <w:rPr>
          <w:rFonts w:hint="eastAsia" w:ascii="仿宋" w:hAnsi="仿宋" w:eastAsia="仿宋" w:cs="仿宋"/>
          <w:sz w:val="24"/>
          <w:szCs w:val="24"/>
          <w:shd w:val="clear" w:color="auto" w:fill="FFFFFF"/>
        </w:rPr>
        <w:t>。</w:t>
      </w:r>
    </w:p>
    <w:p w14:paraId="289D0053">
      <w:pPr>
        <w:pageBreakBefore w:val="0"/>
        <w:widowControl w:val="0"/>
        <w:kinsoku/>
        <w:wordWrap/>
        <w:topLinePunct w:val="0"/>
        <w:autoSpaceDE/>
        <w:autoSpaceDN/>
        <w:bidi w:val="0"/>
        <w:adjustRightInd/>
        <w:snapToGrid w:val="0"/>
        <w:spacing w:line="400" w:lineRule="exact"/>
        <w:ind w:firstLine="480" w:firstLineChars="200"/>
        <w:textAlignment w:val="auto"/>
        <w:outlineLvl w:val="1"/>
        <w:rPr>
          <w:rFonts w:hint="eastAsia" w:ascii="仿宋" w:hAnsi="仿宋" w:eastAsia="仿宋" w:cs="仿宋"/>
          <w:sz w:val="24"/>
          <w:szCs w:val="24"/>
          <w:shd w:val="clear" w:color="auto" w:fill="FFFFFF"/>
        </w:rPr>
      </w:pPr>
      <w:bookmarkStart w:id="38" w:name="_Toc28355"/>
      <w:r>
        <w:rPr>
          <w:rFonts w:hint="eastAsia" w:ascii="仿宋" w:hAnsi="仿宋" w:eastAsia="仿宋" w:cs="仿宋"/>
          <w:sz w:val="24"/>
          <w:szCs w:val="24"/>
          <w:shd w:val="clear" w:color="auto" w:fill="FFFFFF"/>
        </w:rPr>
        <w:t>（2）</w:t>
      </w:r>
      <w:r>
        <w:rPr>
          <w:rFonts w:hint="eastAsia" w:ascii="仿宋" w:hAnsi="仿宋" w:eastAsia="仿宋" w:cs="仿宋"/>
          <w:sz w:val="24"/>
          <w:szCs w:val="24"/>
          <w:shd w:val="clear" w:color="auto" w:fill="FFFFFF"/>
          <w:lang w:val="en-US" w:eastAsia="zh-CN"/>
        </w:rPr>
        <w:t>岗位和</w:t>
      </w:r>
      <w:r>
        <w:rPr>
          <w:rFonts w:hint="eastAsia" w:ascii="仿宋" w:hAnsi="仿宋" w:eastAsia="仿宋" w:cs="仿宋"/>
          <w:sz w:val="24"/>
          <w:szCs w:val="24"/>
          <w:shd w:val="clear" w:color="auto" w:fill="FFFFFF"/>
        </w:rPr>
        <w:t>人员</w:t>
      </w:r>
      <w:bookmarkEnd w:id="38"/>
    </w:p>
    <w:p w14:paraId="2A2227AE">
      <w:pPr>
        <w:pageBreakBefore w:val="0"/>
        <w:widowControl w:val="0"/>
        <w:kinsoku/>
        <w:wordWrap/>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博物馆安全保卫工作规定》第五条规定“博物馆保卫干部和警卫人员（含技术安全设备管理人员和巡逻人员）总数应占全馆职工人数的百分之十左右；百人以下的或地点分散的博物馆可超过百分之十的比例”。公安部 公治安〔2021〕165号《加强文物博物馆单位治安防范工作的意见》（九）充实治安防范力量规定“各文物博物馆单位特别是列为治安保卫重点的单位，要设置专门治安保卫机构，配备与治安保卫任务相适应的专职治安保卫人员”。</w:t>
      </w:r>
      <w:r>
        <w:rPr>
          <w:rFonts w:hint="eastAsia" w:ascii="仿宋" w:hAnsi="仿宋" w:eastAsia="仿宋" w:cs="仿宋"/>
          <w:sz w:val="24"/>
          <w:szCs w:val="24"/>
          <w:shd w:val="clear" w:color="auto" w:fill="FFFFFF"/>
          <w:lang w:val="en-US" w:eastAsia="zh-CN"/>
        </w:rPr>
        <w:t>GA27</w:t>
      </w:r>
      <w:r>
        <w:rPr>
          <w:rFonts w:hint="eastAsia" w:ascii="仿宋" w:hAnsi="仿宋" w:eastAsia="仿宋" w:cs="仿宋"/>
          <w:sz w:val="24"/>
          <w:szCs w:val="24"/>
          <w:shd w:val="clear" w:color="auto" w:fill="FFFFFF"/>
          <w:lang w:eastAsia="zh-CN"/>
        </w:rPr>
        <w:t>《文物系统博物馆风险等级和安全防护级别的规定》</w:t>
      </w:r>
      <w:r>
        <w:rPr>
          <w:rFonts w:hint="eastAsia" w:ascii="仿宋" w:hAnsi="仿宋" w:eastAsia="仿宋" w:cs="仿宋"/>
          <w:sz w:val="24"/>
          <w:szCs w:val="24"/>
          <w:shd w:val="clear" w:color="auto" w:fill="FFFFFF"/>
          <w:lang w:val="en-US" w:eastAsia="zh-CN"/>
        </w:rPr>
        <w:t>要求一、二、三级风险防范单位的处警响应时间不大于3MIN</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综合上面文件的要求和调研中发现的问题，给出了“5.2”的相关内容。</w:t>
      </w:r>
    </w:p>
    <w:p w14:paraId="19FA4ACB">
      <w:pPr>
        <w:pageBreakBefore w:val="0"/>
        <w:widowControl w:val="0"/>
        <w:kinsoku/>
        <w:wordWrap/>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针对博物馆在实际管理中面临的安全保卫人员数量核定缺乏依据，“5.2.1”给出了博物馆应综合</w:t>
      </w:r>
      <w:r>
        <w:rPr>
          <w:rFonts w:hint="eastAsia" w:ascii="仿宋" w:hAnsi="仿宋" w:eastAsia="仿宋" w:cs="仿宋"/>
          <w:sz w:val="24"/>
          <w:szCs w:val="24"/>
          <w:shd w:val="clear" w:color="auto" w:fill="FFFFFF"/>
          <w:lang w:val="en-US" w:eastAsia="zh-CN"/>
        </w:rPr>
        <w:t>当地</w:t>
      </w:r>
      <w:r>
        <w:rPr>
          <w:rFonts w:hint="eastAsia" w:ascii="仿宋" w:hAnsi="仿宋" w:eastAsia="仿宋" w:cs="仿宋"/>
          <w:sz w:val="24"/>
          <w:szCs w:val="24"/>
          <w:shd w:val="clear" w:color="auto" w:fill="FFFFFF"/>
        </w:rPr>
        <w:t>治安形势、面积、文物数量及级别、观众数量、社会关注度等因素，结合物理防范和电子防范系统配置情况，明确安全保卫人员岗位类型和数量，确保</w:t>
      </w:r>
      <w:r>
        <w:rPr>
          <w:rFonts w:hint="eastAsia" w:ascii="仿宋" w:hAnsi="仿宋" w:eastAsia="仿宋" w:cs="仿宋"/>
          <w:sz w:val="24"/>
          <w:szCs w:val="24"/>
          <w:shd w:val="clear" w:color="auto" w:fill="FFFFFF"/>
          <w:lang w:val="en-US" w:eastAsia="zh-CN"/>
        </w:rPr>
        <w:t>重点部位的</w:t>
      </w:r>
      <w:r>
        <w:rPr>
          <w:rFonts w:hint="eastAsia" w:ascii="仿宋" w:hAnsi="仿宋" w:eastAsia="仿宋" w:cs="仿宋"/>
          <w:sz w:val="24"/>
          <w:szCs w:val="24"/>
          <w:shd w:val="clear" w:color="auto" w:fill="FFFFFF"/>
        </w:rPr>
        <w:t>处警响应时间不大于3分钟。“5.2.2”明确了宜设置固定岗位或</w:t>
      </w:r>
      <w:r>
        <w:rPr>
          <w:rFonts w:hint="eastAsia" w:ascii="仿宋" w:hAnsi="仿宋" w:eastAsia="仿宋" w:cs="仿宋"/>
          <w:sz w:val="24"/>
          <w:szCs w:val="24"/>
          <w:shd w:val="clear" w:color="auto" w:fill="FFFFFF"/>
          <w:lang w:val="en-US" w:eastAsia="zh-CN"/>
        </w:rPr>
        <w:t>定期巡视</w:t>
      </w:r>
      <w:r>
        <w:rPr>
          <w:rFonts w:hint="eastAsia" w:ascii="仿宋" w:hAnsi="仿宋" w:eastAsia="仿宋" w:cs="仿宋"/>
          <w:sz w:val="24"/>
          <w:szCs w:val="24"/>
          <w:shd w:val="clear" w:color="auto" w:fill="FFFFFF"/>
        </w:rPr>
        <w:t>的部位。</w:t>
      </w:r>
    </w:p>
    <w:p w14:paraId="2EEA9D47">
      <w:pPr>
        <w:pageBreakBefore w:val="0"/>
        <w:widowControl w:val="0"/>
        <w:kinsoku/>
        <w:wordWrap/>
        <w:topLinePunct w:val="0"/>
        <w:autoSpaceDE/>
        <w:autoSpaceDN/>
        <w:bidi w:val="0"/>
        <w:adjustRightInd/>
        <w:snapToGrid w:val="0"/>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针对安全保卫人员性质多样，人员资质、培训、稳定性和质量控制参差不齐的问题，“5.2.</w:t>
      </w:r>
      <w:r>
        <w:rPr>
          <w:rFonts w:hint="eastAsia" w:ascii="仿宋" w:hAnsi="仿宋" w:eastAsia="仿宋" w:cs="仿宋"/>
          <w:sz w:val="24"/>
          <w:szCs w:val="24"/>
          <w:shd w:val="clear" w:color="auto" w:fill="FFFFFF"/>
          <w:lang w:val="en-US" w:eastAsia="zh-CN"/>
        </w:rPr>
        <w:t>3</w:t>
      </w:r>
      <w:r>
        <w:rPr>
          <w:rFonts w:hint="eastAsia" w:ascii="仿宋" w:hAnsi="仿宋" w:eastAsia="仿宋" w:cs="仿宋"/>
          <w:sz w:val="24"/>
          <w:szCs w:val="24"/>
          <w:shd w:val="clear" w:color="auto" w:fill="FFFFFF"/>
        </w:rPr>
        <w:t>”提出了</w:t>
      </w:r>
      <w:r>
        <w:rPr>
          <w:rFonts w:hint="eastAsia" w:ascii="仿宋" w:hAnsi="仿宋" w:eastAsia="仿宋" w:cs="仿宋"/>
          <w:sz w:val="24"/>
          <w:szCs w:val="24"/>
          <w:shd w:val="clear" w:color="auto" w:fill="FFFFFF"/>
          <w:lang w:val="en-US" w:eastAsia="zh-CN"/>
        </w:rPr>
        <w:t>安全保卫人员的岗位要求</w:t>
      </w:r>
      <w:r>
        <w:rPr>
          <w:rFonts w:hint="eastAsia" w:ascii="仿宋" w:hAnsi="仿宋" w:eastAsia="仿宋" w:cs="仿宋"/>
          <w:sz w:val="24"/>
          <w:szCs w:val="24"/>
          <w:shd w:val="clear" w:color="auto" w:fill="FFFFFF"/>
        </w:rPr>
        <w:t>。</w:t>
      </w:r>
      <w:r>
        <w:rPr>
          <w:rFonts w:hint="eastAsia" w:ascii="仿宋" w:hAnsi="仿宋" w:eastAsia="仿宋" w:cs="仿宋"/>
          <w:sz w:val="24"/>
          <w:szCs w:val="24"/>
          <w:shd w:val="clear" w:color="auto" w:fill="FFFFFF"/>
          <w:lang w:val="en-US" w:eastAsia="zh-CN"/>
        </w:rPr>
        <w:t>参考</w:t>
      </w:r>
      <w:r>
        <w:rPr>
          <w:rFonts w:hint="eastAsia" w:ascii="仿宋" w:hAnsi="仿宋" w:eastAsia="仿宋" w:cs="仿宋"/>
          <w:sz w:val="24"/>
          <w:szCs w:val="24"/>
          <w:shd w:val="clear" w:color="auto" w:fill="FFFFFF"/>
        </w:rPr>
        <w:t>GB/T16571《博物馆和文物保护单位安全防范系统要求》5.</w:t>
      </w:r>
      <w:r>
        <w:rPr>
          <w:rFonts w:hint="eastAsia" w:ascii="仿宋" w:hAnsi="仿宋" w:eastAsia="仿宋" w:cs="仿宋"/>
          <w:sz w:val="24"/>
          <w:szCs w:val="24"/>
          <w:shd w:val="clear" w:color="auto" w:fill="FFFFFF"/>
          <w:lang w:val="en-US" w:eastAsia="zh-CN"/>
        </w:rPr>
        <w:t>2.4</w:t>
      </w:r>
      <w:r>
        <w:rPr>
          <w:rFonts w:hint="eastAsia" w:ascii="仿宋" w:hAnsi="仿宋" w:eastAsia="仿宋" w:cs="仿宋"/>
          <w:sz w:val="24"/>
          <w:szCs w:val="24"/>
          <w:shd w:val="clear" w:color="auto" w:fill="FFFFFF"/>
        </w:rPr>
        <w:t>规定“博物馆对安全保卫工作人员应坚持</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先审查、后录用</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rPr>
        <w:t>的原则，并登记备案”。</w:t>
      </w:r>
      <w:r>
        <w:rPr>
          <w:rFonts w:hint="eastAsia" w:ascii="仿宋" w:hAnsi="仿宋" w:eastAsia="仿宋" w:cs="仿宋"/>
          <w:sz w:val="24"/>
          <w:szCs w:val="24"/>
          <w:shd w:val="clear" w:color="auto" w:fill="FFFFFF"/>
          <w:lang w:val="en-US" w:eastAsia="zh-CN"/>
        </w:rPr>
        <w:t>5.2.5和5.2.6提出了对保安员的相关要求。</w:t>
      </w:r>
      <w:r>
        <w:rPr>
          <w:rFonts w:hint="eastAsia" w:ascii="仿宋" w:hAnsi="仿宋" w:eastAsia="仿宋" w:cs="仿宋"/>
          <w:sz w:val="24"/>
          <w:szCs w:val="24"/>
          <w:shd w:val="clear" w:color="auto" w:fill="FFFFFF"/>
        </w:rPr>
        <w:t>“5.2.7”明确了专职安全保卫人员应经培训合格后方可上岗，“5.2.8”提出了博物馆宜定期对安全保卫人员进行岗位能力评估。</w:t>
      </w:r>
    </w:p>
    <w:p w14:paraId="1E906412">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39" w:name="_Toc4559"/>
      <w:r>
        <w:rPr>
          <w:rFonts w:hint="eastAsia" w:ascii="仿宋" w:hAnsi="仿宋" w:eastAsia="仿宋" w:cs="仿宋"/>
          <w:sz w:val="24"/>
          <w:szCs w:val="24"/>
        </w:rPr>
        <w:t>制度管理（第6章）</w:t>
      </w:r>
      <w:bookmarkEnd w:id="39"/>
    </w:p>
    <w:p w14:paraId="245BB812">
      <w:pPr>
        <w:pageBreakBefore w:val="0"/>
        <w:widowControl w:val="0"/>
        <w:tabs>
          <w:tab w:val="left" w:pos="312"/>
          <w:tab w:val="left" w:pos="720"/>
          <w:tab w:val="left" w:pos="960"/>
          <w:tab w:val="left" w:pos="1200"/>
        </w:tabs>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第6章安全保卫管理制度，给出了博物馆安全保卫制度清单，安全保卫制度更新条件，明确了安全保卫管理制度宣贯要求和管理制度运行记录和存档要求。</w:t>
      </w:r>
    </w:p>
    <w:p w14:paraId="6DB1407C">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参考GB/T40753-2021/ISO28004:2007《供应链安全管理体系ISO28000实施指南》、GB/T45001-2020/ISO45001:2018《职业健康安全管理体系要求及使用指南安全管理体系》，管理体系配套的制度文件一般包括：安全管理方针、安全风险评估和策划（安全风险评估、法律法规及其他安全监管要求、安全管理目标、安全管理指标、安全管理方案）、实施与运行（安全管理机构权限和职责、能力培训和意识、沟通、文件、文件和资料管理、运行控制、应急准备响应和安全恢复）、检查和纠正措施（安全绩效测量和监视、体系评价、安全相关缺陷/事件/不符合项及纠正和预防措施、记录管理、审核）、管理评审和持续改进。</w:t>
      </w:r>
    </w:p>
    <w:p w14:paraId="4403CCDB">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企业事业单位内部治安保卫条例》第八条规定“单位制定的内部治安保卫制度应当包括下列内容：（一）门卫、值班、巡查制度；（二）工作、生产、经营、教学、科研等场所的安全管理制度；（三）现金、票据、印鉴、有价证券等重要物品使用、保管、储存、运输的安全管理制度；（四）单位内部的消防、交通安全管理制度；（五）治安防范教育培训制度；（六）单位内部发生治安案件、涉嫌刑事犯罪案件的报告制度；（七）治安保卫工作检查、考核及奖惩制度；（八）存放有爆炸性、易燃性、放射性、毒害性、传染性、腐蚀性等危险物品和传染性菌种、毒种以及武器弹药的单位，还应当有相应的安全管理制度；（九）其他有关的治安保卫制度。”</w:t>
      </w:r>
    </w:p>
    <w:p w14:paraId="3B2FA1BF">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default" w:ascii="仿宋" w:hAnsi="仿宋" w:eastAsia="宋体" w:cs="仿宋"/>
          <w:sz w:val="24"/>
          <w:szCs w:val="24"/>
          <w:lang w:val="en-US" w:eastAsia="zh-CN"/>
        </w:rPr>
      </w:pPr>
      <w:r>
        <w:rPr>
          <w:rFonts w:hint="eastAsia" w:ascii="仿宋" w:hAnsi="仿宋" w:eastAsia="仿宋" w:cs="仿宋"/>
          <w:sz w:val="24"/>
          <w:szCs w:val="24"/>
          <w:lang w:eastAsia="zh-CN"/>
        </w:rPr>
        <w:t>《博物馆公共安全应急管理规范》</w:t>
      </w:r>
      <w:r>
        <w:rPr>
          <w:rFonts w:hint="eastAsia" w:ascii="仿宋" w:hAnsi="仿宋" w:eastAsia="仿宋" w:cs="仿宋"/>
          <w:sz w:val="24"/>
          <w:szCs w:val="24"/>
        </w:rPr>
        <w:t>WW/T 0111</w:t>
      </w:r>
      <w:r>
        <w:rPr>
          <w:rFonts w:hint="eastAsia" w:ascii="仿宋" w:hAnsi="仿宋" w:eastAsia="仿宋" w:cs="仿宋"/>
          <w:sz w:val="24"/>
          <w:szCs w:val="24"/>
          <w:lang w:val="en-US" w:eastAsia="zh-CN"/>
        </w:rPr>
        <w:t>-2023的12.3提出“ 博物馆应建立公共安全应急档案管理制度，应急管理文字、图片、录音、录像等记录文件应至少保存3年。”</w:t>
      </w:r>
    </w:p>
    <w:p w14:paraId="60D6D87B">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调研发现，现阶段博物馆还不具备启动管理体系建设相关工作的条件，管理体系建设需要调整</w:t>
      </w:r>
      <w:r>
        <w:rPr>
          <w:rFonts w:hint="eastAsia" w:ascii="仿宋" w:hAnsi="仿宋" w:eastAsia="仿宋" w:cs="仿宋"/>
          <w:sz w:val="24"/>
          <w:szCs w:val="24"/>
          <w:lang w:val="en-US" w:eastAsia="zh-CN"/>
        </w:rPr>
        <w:t>全馆</w:t>
      </w:r>
      <w:r>
        <w:rPr>
          <w:rFonts w:hint="eastAsia" w:ascii="仿宋" w:hAnsi="仿宋" w:eastAsia="仿宋" w:cs="仿宋"/>
          <w:sz w:val="24"/>
          <w:szCs w:val="24"/>
        </w:rPr>
        <w:t>的管理思路和方法，对于新建博物馆，可以从建设初期就开始顶层设计，成立之初即统一管理方法、制定管理标准，明确岗位职责，细化作业指导书，将管理体系实际运行起来。但是对于已经成立的博物馆，尤其是历史悠久的博物馆，可能是伤筋动骨的改变，需要领导层的决心。因此本标准没有直接采用管理体系建设的要求，而是定位为“从要素到体系的过渡性要求”。</w:t>
      </w:r>
    </w:p>
    <w:p w14:paraId="2D3BC83E">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结合上述文件要求和博物馆实际运行状况，借鉴相关标准内容，“6.1”中给出了博物馆应安全保卫管理制度参考内容：安全保卫方针与目标、安全保卫</w:t>
      </w:r>
      <w:r>
        <w:rPr>
          <w:rFonts w:hint="eastAsia" w:ascii="仿宋" w:hAnsi="仿宋" w:eastAsia="仿宋" w:cs="仿宋"/>
          <w:sz w:val="24"/>
          <w:szCs w:val="24"/>
          <w:lang w:val="en-US" w:eastAsia="zh-CN"/>
        </w:rPr>
        <w:t>部门</w:t>
      </w:r>
      <w:r>
        <w:rPr>
          <w:rFonts w:hint="eastAsia" w:ascii="仿宋" w:hAnsi="仿宋" w:eastAsia="仿宋" w:cs="仿宋"/>
          <w:sz w:val="24"/>
          <w:szCs w:val="24"/>
        </w:rPr>
        <w:t>权限和职责、安全保卫责任制、安全保卫年度管理方案、风险管理与隐患排查、安全教育与培训、安全保卫会议、相关方管理、安全保卫岗位说明书和能力要求</w:t>
      </w:r>
      <w:r>
        <w:rPr>
          <w:rFonts w:hint="eastAsia" w:ascii="仿宋" w:hAnsi="仿宋" w:eastAsia="仿宋" w:cs="仿宋"/>
          <w:sz w:val="24"/>
          <w:szCs w:val="24"/>
          <w:lang w:eastAsia="zh-CN"/>
        </w:rPr>
        <w:t>、岗位作业规程、</w:t>
      </w:r>
      <w:r>
        <w:rPr>
          <w:rFonts w:hint="eastAsia" w:ascii="仿宋" w:hAnsi="仿宋" w:eastAsia="仿宋" w:cs="仿宋"/>
          <w:sz w:val="24"/>
          <w:szCs w:val="24"/>
        </w:rPr>
        <w:t>应急准备与响应、审核与评估。由于博物馆安全保卫的主要工作是由一线的保卫人员执行，</w:t>
      </w:r>
      <w:r>
        <w:rPr>
          <w:rFonts w:hint="eastAsia" w:ascii="仿宋" w:hAnsi="仿宋" w:eastAsia="仿宋" w:cs="仿宋"/>
          <w:sz w:val="24"/>
          <w:szCs w:val="24"/>
          <w:lang w:eastAsia="zh-CN"/>
        </w:rPr>
        <w:t>保卫人员</w:t>
      </w:r>
      <w:r>
        <w:rPr>
          <w:rFonts w:hint="eastAsia" w:ascii="仿宋" w:hAnsi="仿宋" w:eastAsia="仿宋" w:cs="仿宋"/>
          <w:sz w:val="24"/>
          <w:szCs w:val="24"/>
        </w:rPr>
        <w:t>对岗位职责、岗位作业要求的准确理解和有效执行至关重要，考虑到制度执行落地的有效性，考虑到管理体系的持续改进要求和“6.</w:t>
      </w:r>
      <w:r>
        <w:rPr>
          <w:rFonts w:hint="eastAsia" w:ascii="仿宋" w:hAnsi="仿宋" w:eastAsia="仿宋" w:cs="仿宋"/>
          <w:sz w:val="24"/>
          <w:szCs w:val="24"/>
          <w:lang w:val="en-US" w:eastAsia="zh-CN"/>
        </w:rPr>
        <w:t>2</w:t>
      </w:r>
      <w:r>
        <w:rPr>
          <w:rFonts w:hint="eastAsia" w:ascii="仿宋" w:hAnsi="仿宋" w:eastAsia="仿宋" w:cs="仿宋"/>
          <w:sz w:val="24"/>
          <w:szCs w:val="24"/>
        </w:rPr>
        <w:t>”给出了安全保卫管理制度更新条件。</w:t>
      </w:r>
    </w:p>
    <w:p w14:paraId="697DB907">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0" w:name="_Toc9320"/>
      <w:r>
        <w:rPr>
          <w:rFonts w:hint="eastAsia" w:ascii="仿宋" w:hAnsi="仿宋" w:eastAsia="仿宋" w:cs="仿宋"/>
          <w:sz w:val="24"/>
          <w:szCs w:val="24"/>
        </w:rPr>
        <w:t>日常管理（第7章）</w:t>
      </w:r>
      <w:bookmarkEnd w:id="40"/>
    </w:p>
    <w:p w14:paraId="17303ED3">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第7章日常管理，主要是明确开闭馆管理、出入口管理、安全检查管理、值班值守管理、钥匙和门锁管理、证件管理、电子防范系统管理、</w:t>
      </w:r>
      <w:r>
        <w:rPr>
          <w:rFonts w:hint="eastAsia" w:ascii="仿宋" w:hAnsi="仿宋" w:eastAsia="仿宋" w:cs="仿宋"/>
          <w:sz w:val="24"/>
          <w:szCs w:val="24"/>
          <w:shd w:val="clear" w:color="auto" w:fill="FFFFFF"/>
          <w:lang w:eastAsia="zh-CN"/>
        </w:rPr>
        <w:t>布撤展安全管理</w:t>
      </w:r>
      <w:r>
        <w:rPr>
          <w:rFonts w:hint="eastAsia" w:ascii="仿宋" w:hAnsi="仿宋" w:eastAsia="仿宋" w:cs="仿宋"/>
          <w:sz w:val="24"/>
          <w:szCs w:val="24"/>
          <w:shd w:val="clear" w:color="auto" w:fill="FFFFFF"/>
        </w:rPr>
        <w:t>、重点部位安全管理、临时性活动</w:t>
      </w:r>
      <w:r>
        <w:rPr>
          <w:rFonts w:hint="default" w:ascii="仿宋" w:hAnsi="仿宋" w:eastAsia="仿宋" w:cs="仿宋"/>
          <w:sz w:val="24"/>
          <w:szCs w:val="24"/>
          <w:shd w:val="clear" w:color="auto" w:fill="FFFFFF"/>
          <w:lang w:val="en-US"/>
        </w:rPr>
        <w:t>安全监管</w:t>
      </w:r>
      <w:r>
        <w:rPr>
          <w:rFonts w:hint="eastAsia" w:ascii="仿宋" w:hAnsi="仿宋" w:eastAsia="仿宋" w:cs="仿宋"/>
          <w:sz w:val="24"/>
          <w:szCs w:val="24"/>
          <w:shd w:val="clear" w:color="auto" w:fill="FFFFFF"/>
        </w:rPr>
        <w:t>等工作应遵循的规范。</w:t>
      </w:r>
    </w:p>
    <w:p w14:paraId="30E6F31A">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1" w:name="_Toc20311"/>
      <w:r>
        <w:rPr>
          <w:rFonts w:hint="eastAsia" w:ascii="仿宋" w:hAnsi="仿宋" w:eastAsia="仿宋" w:cs="仿宋"/>
          <w:sz w:val="24"/>
          <w:szCs w:val="24"/>
        </w:rPr>
        <w:t>开闭馆管理</w:t>
      </w:r>
      <w:bookmarkEnd w:id="41"/>
    </w:p>
    <w:p w14:paraId="27090D1B">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b/>
          <w:bCs/>
          <w:sz w:val="24"/>
          <w:szCs w:val="24"/>
        </w:rPr>
      </w:pPr>
      <w:r>
        <w:rPr>
          <w:rFonts w:hint="eastAsia" w:ascii="仿宋" w:hAnsi="仿宋" w:eastAsia="仿宋" w:cs="仿宋"/>
          <w:sz w:val="24"/>
          <w:szCs w:val="24"/>
        </w:rPr>
        <w:t>《中华人民共和国博物馆条例》第二十八条规定“博物馆应当自取得登记证书之日起6个月内向公众开放”，《博物馆管理办法》第二十八条规定“无正当理由，国有博物馆全年开放时间不少于10个月，非国有博物馆全年开放时间不少于8个月”，《博物馆安全保卫工作规定》第十四条规定“认真做好开馆前和闭馆后的文物检查和清馆净场工作，填写安全检查记录或交接班登记”。</w:t>
      </w:r>
      <w:r>
        <w:rPr>
          <w:rFonts w:hint="eastAsia" w:ascii="仿宋" w:hAnsi="仿宋" w:eastAsia="仿宋" w:cs="仿宋"/>
          <w:b/>
          <w:bCs/>
          <w:sz w:val="24"/>
          <w:szCs w:val="24"/>
        </w:rPr>
        <w:t>因此，开闭馆工作是博物馆最为重要和频繁的日常工作之一，具体又包含安全检查、观众清场、门窗开闭等事项。</w:t>
      </w:r>
    </w:p>
    <w:p w14:paraId="2148846D">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调研发现，当前各博物馆在开闭馆管理方面存在的主要问题是过于依赖第三方，开闭馆检查要点不明确等。因此，标准“7.1开闭馆管理”部分重点对以下内容进行了规范：</w:t>
      </w:r>
    </w:p>
    <w:p w14:paraId="760D053D">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“7.1.1”是《中华人民共和国博物馆条例》第二十八条、《博物馆管理办法》第二十八条及《博物馆安全保卫工作规定》第十四条规定落实的基础。</w:t>
      </w:r>
    </w:p>
    <w:p w14:paraId="6C8EE57A">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“7.1.2”“7.1.3”“7.1.</w:t>
      </w:r>
      <w:r>
        <w:rPr>
          <w:rFonts w:hint="eastAsia" w:ascii="仿宋" w:hAnsi="仿宋" w:eastAsia="仿宋" w:cs="仿宋"/>
          <w:sz w:val="24"/>
          <w:szCs w:val="24"/>
          <w:lang w:val="en-US" w:eastAsia="zh-CN"/>
        </w:rPr>
        <w:t>4</w:t>
      </w:r>
      <w:r>
        <w:rPr>
          <w:rFonts w:hint="eastAsia" w:ascii="仿宋" w:hAnsi="仿宋" w:eastAsia="仿宋" w:cs="仿宋"/>
          <w:sz w:val="24"/>
          <w:szCs w:val="24"/>
        </w:rPr>
        <w:t>”重点是对开闭馆工作过程进行规范，解决调研过程中发现的当前开闭馆检查要点不明确、模式单一等问题。其中，“开馆</w:t>
      </w:r>
      <w:r>
        <w:rPr>
          <w:rFonts w:hint="eastAsia" w:ascii="仿宋" w:hAnsi="仿宋" w:eastAsia="仿宋" w:cs="仿宋"/>
          <w:sz w:val="24"/>
          <w:szCs w:val="24"/>
          <w:lang w:val="en-US" w:eastAsia="zh-CN"/>
        </w:rPr>
        <w:t>检查</w:t>
      </w:r>
      <w:r>
        <w:rPr>
          <w:rFonts w:hint="eastAsia" w:ascii="仿宋" w:hAnsi="仿宋" w:eastAsia="仿宋" w:cs="仿宋"/>
          <w:sz w:val="24"/>
          <w:szCs w:val="24"/>
        </w:rPr>
        <w:t>现场操作人员不少于2人，宜采取多部门联合编组模式”是对闽台缘博物馆等单位先进经验的吸收和推广</w:t>
      </w:r>
      <w:r>
        <w:rPr>
          <w:rFonts w:hint="eastAsia" w:ascii="仿宋" w:hAnsi="仿宋" w:eastAsia="仿宋" w:cs="仿宋"/>
          <w:sz w:val="24"/>
          <w:szCs w:val="24"/>
          <w:lang w:eastAsia="zh-CN"/>
        </w:rPr>
        <w:t>。</w:t>
      </w:r>
    </w:p>
    <w:p w14:paraId="41065DF3">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“7.1.</w:t>
      </w:r>
      <w:r>
        <w:rPr>
          <w:rFonts w:hint="eastAsia" w:ascii="仿宋" w:hAnsi="仿宋" w:eastAsia="仿宋" w:cs="仿宋"/>
          <w:sz w:val="24"/>
          <w:szCs w:val="24"/>
          <w:lang w:val="en-US" w:eastAsia="zh-CN"/>
        </w:rPr>
        <w:t>5</w:t>
      </w:r>
      <w:r>
        <w:rPr>
          <w:rFonts w:hint="eastAsia" w:ascii="仿宋" w:hAnsi="仿宋" w:eastAsia="仿宋" w:cs="仿宋"/>
          <w:sz w:val="24"/>
          <w:szCs w:val="24"/>
        </w:rPr>
        <w:t>”是特殊场景应对的基本规范。闭馆检查区域遇有施工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布撤展等特殊</w:t>
      </w:r>
      <w:r>
        <w:rPr>
          <w:rFonts w:hint="eastAsia" w:ascii="仿宋" w:hAnsi="仿宋" w:eastAsia="仿宋" w:cs="仿宋"/>
          <w:sz w:val="24"/>
          <w:szCs w:val="24"/>
        </w:rPr>
        <w:t>项目时应遵守的要求，即与项目主管部门</w:t>
      </w:r>
      <w:r>
        <w:rPr>
          <w:rFonts w:hint="eastAsia" w:ascii="仿宋" w:hAnsi="仿宋" w:eastAsia="仿宋" w:cs="仿宋"/>
          <w:sz w:val="24"/>
          <w:szCs w:val="24"/>
          <w:lang w:val="en-US" w:eastAsia="zh-CN"/>
        </w:rPr>
        <w:t>履行</w:t>
      </w:r>
      <w:r>
        <w:rPr>
          <w:rFonts w:hint="eastAsia" w:ascii="仿宋" w:hAnsi="仿宋" w:eastAsia="仿宋" w:cs="仿宋"/>
          <w:sz w:val="24"/>
          <w:szCs w:val="24"/>
        </w:rPr>
        <w:t>书面</w:t>
      </w:r>
      <w:r>
        <w:rPr>
          <w:rFonts w:hint="eastAsia" w:ascii="仿宋" w:hAnsi="仿宋" w:eastAsia="仿宋" w:cs="仿宋"/>
          <w:sz w:val="24"/>
          <w:szCs w:val="24"/>
          <w:lang w:val="en-US" w:eastAsia="zh-CN"/>
        </w:rPr>
        <w:t>安全</w:t>
      </w:r>
      <w:r>
        <w:rPr>
          <w:rFonts w:hint="eastAsia" w:ascii="仿宋" w:hAnsi="仿宋" w:eastAsia="仿宋" w:cs="仿宋"/>
          <w:sz w:val="24"/>
          <w:szCs w:val="24"/>
        </w:rPr>
        <w:t>交接手续</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作业可能</w:t>
      </w:r>
      <w:r>
        <w:rPr>
          <w:rFonts w:hint="eastAsia" w:ascii="仿宋" w:hAnsi="仿宋" w:eastAsia="仿宋" w:cs="仿宋"/>
          <w:sz w:val="24"/>
          <w:szCs w:val="24"/>
        </w:rPr>
        <w:t>接触到文物</w:t>
      </w:r>
      <w:r>
        <w:rPr>
          <w:rFonts w:hint="eastAsia" w:ascii="仿宋" w:hAnsi="仿宋" w:eastAsia="仿宋" w:cs="仿宋"/>
          <w:sz w:val="24"/>
          <w:szCs w:val="24"/>
          <w:lang w:val="en-US" w:eastAsia="zh-CN"/>
        </w:rPr>
        <w:t>或构成安全隐患</w:t>
      </w:r>
      <w:r>
        <w:rPr>
          <w:rFonts w:hint="eastAsia" w:ascii="仿宋" w:hAnsi="仿宋" w:eastAsia="仿宋" w:cs="仿宋"/>
          <w:sz w:val="24"/>
          <w:szCs w:val="24"/>
        </w:rPr>
        <w:t>时</w:t>
      </w:r>
      <w:r>
        <w:rPr>
          <w:rFonts w:hint="eastAsia" w:ascii="仿宋" w:hAnsi="仿宋" w:eastAsia="仿宋" w:cs="仿宋"/>
          <w:sz w:val="24"/>
          <w:szCs w:val="24"/>
          <w:lang w:eastAsia="zh-CN"/>
        </w:rPr>
        <w:t>，应安排文物保护专业人员与安全保卫人员实施“双人、全程、现场”监督</w:t>
      </w:r>
      <w:r>
        <w:rPr>
          <w:rFonts w:hint="eastAsia" w:ascii="仿宋" w:hAnsi="仿宋" w:eastAsia="仿宋" w:cs="仿宋"/>
          <w:sz w:val="24"/>
          <w:szCs w:val="24"/>
        </w:rPr>
        <w:t>，这是确保文物安全的基本方式。</w:t>
      </w:r>
    </w:p>
    <w:p w14:paraId="2C4F0B05">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2" w:name="_Toc25740"/>
      <w:r>
        <w:rPr>
          <w:rFonts w:hint="eastAsia" w:ascii="仿宋" w:hAnsi="仿宋" w:eastAsia="仿宋" w:cs="仿宋"/>
          <w:sz w:val="24"/>
          <w:szCs w:val="24"/>
        </w:rPr>
        <w:t>出入口管理</w:t>
      </w:r>
      <w:bookmarkEnd w:id="42"/>
    </w:p>
    <w:p w14:paraId="6F668D30">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《企事业单位内部治安保卫》第十一条规定“</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"https://baike.baidu.com/item/%E4%BA%BA%E8%BA%AB%E5%AE%89%E5%85%A8" \t "http://zwfw-new.hunan.gov.cn/hnvirtualhall/zcwj/_blank" </w:instrText>
      </w:r>
      <w:r>
        <w:rPr>
          <w:rFonts w:hint="eastAsia" w:ascii="仿宋" w:hAnsi="仿宋" w:eastAsia="仿宋" w:cs="仿宋"/>
          <w:sz w:val="24"/>
          <w:szCs w:val="24"/>
        </w:rPr>
        <w:fldChar w:fldCharType="separate"/>
      </w:r>
      <w:r>
        <w:rPr>
          <w:rFonts w:hint="eastAsia" w:ascii="仿宋" w:hAnsi="仿宋" w:eastAsia="仿宋" w:cs="仿宋"/>
          <w:sz w:val="24"/>
          <w:szCs w:val="24"/>
        </w:rPr>
        <w:t>单位内部治安保卫机构、治安保卫人员应当履行下列职责：</w:t>
      </w:r>
      <w:r>
        <w:rPr>
          <w:rFonts w:hint="eastAsia" w:ascii="仿宋" w:hAnsi="仿宋" w:eastAsia="仿宋" w:cs="仿宋"/>
          <w:sz w:val="24"/>
          <w:szCs w:val="24"/>
        </w:rPr>
        <w:fldChar w:fldCharType="end"/>
      </w:r>
      <w:r>
        <w:rPr>
          <w:rFonts w:hint="eastAsia" w:ascii="仿宋" w:hAnsi="仿宋" w:eastAsia="仿宋" w:cs="仿宋"/>
          <w:sz w:val="24"/>
          <w:szCs w:val="24"/>
        </w:rPr>
        <w:t>……</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"https://baike.baidu.com/item/%E4%BA%BA%E8%BA%AB%E5%AE%89%E5%85%A8" \t "http://zwfw-new.hunan.gov.cn/hnvirtualhall/zcwj/_blank" </w:instrText>
      </w:r>
      <w:r>
        <w:rPr>
          <w:rFonts w:hint="eastAsia" w:ascii="仿宋" w:hAnsi="仿宋" w:eastAsia="仿宋" w:cs="仿宋"/>
          <w:sz w:val="24"/>
          <w:szCs w:val="24"/>
        </w:rPr>
        <w:fldChar w:fldCharType="separate"/>
      </w:r>
      <w:r>
        <w:rPr>
          <w:rFonts w:hint="eastAsia" w:ascii="仿宋" w:hAnsi="仿宋" w:eastAsia="仿宋" w:cs="仿宋"/>
          <w:sz w:val="24"/>
          <w:szCs w:val="24"/>
        </w:rPr>
        <w:t>（二）根据需要，检查进入本单位人员的证件，登记出入的物品和车辆</w:t>
      </w:r>
      <w:r>
        <w:rPr>
          <w:rFonts w:hint="eastAsia" w:ascii="仿宋" w:hAnsi="仿宋" w:eastAsia="仿宋" w:cs="仿宋"/>
          <w:sz w:val="24"/>
          <w:szCs w:val="24"/>
        </w:rPr>
        <w:fldChar w:fldCharType="end"/>
      </w:r>
      <w:r>
        <w:rPr>
          <w:rFonts w:hint="eastAsia" w:ascii="仿宋" w:hAnsi="仿宋" w:eastAsia="仿宋" w:cs="仿宋"/>
          <w:sz w:val="24"/>
          <w:szCs w:val="24"/>
        </w:rPr>
        <w:t>”。有关技术标准主要包括JGJ66《博物馆建筑设计规范》</w:t>
      </w:r>
      <w:r>
        <w:rPr>
          <w:rFonts w:hint="eastAsia" w:ascii="仿宋" w:hAnsi="仿宋" w:eastAsia="仿宋" w:cs="仿宋"/>
          <w:sz w:val="24"/>
          <w:szCs w:val="24"/>
          <w:lang w:eastAsia="zh-CN"/>
        </w:rPr>
        <w:t>、</w:t>
      </w:r>
      <w:r>
        <w:rPr>
          <w:rFonts w:hint="eastAsia" w:ascii="仿宋" w:hAnsi="仿宋" w:eastAsia="仿宋" w:cs="仿宋"/>
          <w:sz w:val="24"/>
          <w:szCs w:val="24"/>
        </w:rPr>
        <w:t>GB50396《出入口控制系统工程设计规范》</w:t>
      </w:r>
      <w:r>
        <w:rPr>
          <w:rFonts w:hint="eastAsia" w:ascii="仿宋" w:hAnsi="仿宋" w:eastAsia="仿宋" w:cs="仿宋"/>
          <w:sz w:val="24"/>
          <w:szCs w:val="24"/>
          <w:lang w:val="en-US" w:eastAsia="zh-CN"/>
        </w:rPr>
        <w:t>和</w:t>
      </w:r>
      <w:r>
        <w:rPr>
          <w:rFonts w:hint="eastAsia" w:ascii="仿宋" w:hAnsi="仿宋" w:eastAsia="仿宋" w:cs="仿宋"/>
          <w:sz w:val="24"/>
          <w:szCs w:val="24"/>
        </w:rPr>
        <w:t>GB/T 37078《出入口控制系统技术要求</w:t>
      </w:r>
      <w:r>
        <w:rPr>
          <w:rFonts w:hint="eastAsia" w:ascii="仿宋" w:hAnsi="仿宋" w:eastAsia="仿宋" w:cs="仿宋"/>
          <w:sz w:val="24"/>
          <w:szCs w:val="24"/>
          <w:lang w:eastAsia="zh-CN"/>
        </w:rPr>
        <w:t>》和</w:t>
      </w:r>
      <w:r>
        <w:rPr>
          <w:rFonts w:hint="eastAsia" w:ascii="仿宋" w:hAnsi="仿宋" w:eastAsia="仿宋" w:cs="仿宋"/>
          <w:sz w:val="24"/>
          <w:szCs w:val="24"/>
        </w:rPr>
        <w:t>GB50348</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"http://www.baidu.com/link?url=XqZ7y14loikhiKnuMtofqUInb3N30NGgpaxg9NyQeGOhmvsplYV-tYmrIwEIlhsO" \t "https://www.baidu.com/_blank" </w:instrText>
      </w:r>
      <w:r>
        <w:rPr>
          <w:rFonts w:hint="eastAsia" w:ascii="仿宋" w:hAnsi="仿宋" w:eastAsia="仿宋" w:cs="仿宋"/>
          <w:sz w:val="24"/>
          <w:szCs w:val="24"/>
        </w:rPr>
        <w:fldChar w:fldCharType="separate"/>
      </w:r>
      <w:r>
        <w:rPr>
          <w:rFonts w:hint="eastAsia" w:ascii="仿宋" w:hAnsi="仿宋" w:eastAsia="仿宋" w:cs="仿宋"/>
          <w:sz w:val="24"/>
          <w:szCs w:val="24"/>
        </w:rPr>
        <w:t>《安全防范工程技术标准》</w:t>
      </w:r>
      <w:r>
        <w:rPr>
          <w:rFonts w:hint="eastAsia" w:ascii="仿宋" w:hAnsi="仿宋" w:eastAsia="仿宋" w:cs="仿宋"/>
          <w:sz w:val="24"/>
          <w:szCs w:val="24"/>
        </w:rPr>
        <w:fldChar w:fldCharType="end"/>
      </w:r>
      <w:r>
        <w:rPr>
          <w:rFonts w:hint="eastAsia" w:ascii="仿宋" w:hAnsi="仿宋" w:eastAsia="仿宋" w:cs="仿宋"/>
          <w:sz w:val="24"/>
          <w:szCs w:val="24"/>
        </w:rPr>
        <w:t>等。</w:t>
      </w:r>
    </w:p>
    <w:p w14:paraId="4C436A7D">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调研发现当前博物馆在出入口管理方面存在的主要问题是部分博物馆在客流高峰时段面临观众候展、候票区域不足的问题，博物馆安检时禁止携带的物品清单没有统一规定，观众客流控制与引导方式差异较大。</w:t>
      </w:r>
    </w:p>
    <w:p w14:paraId="51592795">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因此，“7.2出入口管理”重点是提出区域规划（7.2.</w:t>
      </w:r>
      <w:r>
        <w:rPr>
          <w:rFonts w:hint="eastAsia" w:ascii="仿宋" w:hAnsi="仿宋" w:eastAsia="仿宋" w:cs="仿宋"/>
          <w:sz w:val="24"/>
          <w:szCs w:val="24"/>
          <w:lang w:eastAsia="zh-CN"/>
        </w:rPr>
        <w:t>1）</w:t>
      </w:r>
      <w:r>
        <w:rPr>
          <w:rFonts w:hint="eastAsia" w:ascii="仿宋" w:hAnsi="仿宋" w:eastAsia="仿宋" w:cs="仿宋"/>
          <w:sz w:val="24"/>
          <w:szCs w:val="24"/>
        </w:rPr>
        <w:t>禁止携带物品（7.2.</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观众承载量</w:t>
      </w:r>
      <w:r>
        <w:rPr>
          <w:rFonts w:hint="eastAsia" w:ascii="仿宋" w:hAnsi="仿宋" w:eastAsia="仿宋" w:cs="仿宋"/>
          <w:sz w:val="24"/>
          <w:szCs w:val="24"/>
        </w:rPr>
        <w:t>（7.2.</w:t>
      </w:r>
      <w:r>
        <w:rPr>
          <w:rFonts w:hint="eastAsia" w:ascii="仿宋" w:hAnsi="仿宋" w:eastAsia="仿宋" w:cs="仿宋"/>
          <w:sz w:val="24"/>
          <w:szCs w:val="24"/>
          <w:lang w:val="en-US" w:eastAsia="zh-CN"/>
        </w:rPr>
        <w:t>5</w:t>
      </w:r>
      <w:r>
        <w:rPr>
          <w:rFonts w:hint="eastAsia" w:ascii="仿宋" w:hAnsi="仿宋" w:eastAsia="仿宋" w:cs="仿宋"/>
          <w:sz w:val="24"/>
          <w:szCs w:val="24"/>
        </w:rPr>
        <w:t>）方面的规范</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并在附录A中给出了观众禁带物品清单示例</w:t>
      </w:r>
      <w:r>
        <w:rPr>
          <w:rFonts w:hint="eastAsia" w:ascii="仿宋" w:hAnsi="仿宋" w:eastAsia="仿宋" w:cs="仿宋"/>
          <w:sz w:val="24"/>
          <w:szCs w:val="24"/>
        </w:rPr>
        <w:t>。参考的具体标准有GA873“5.5.1 进出企业的主要出入口应有治安保卫人员24h值守”、GB50348“6.4.6 出入口控制系统应根据不同的通行对象进出各受控区的安全管理要求，在出入口处对其所持有的凭证进行识别查验，对其进出实施授权、实时控制与管理，满足实际应用需求”，以及</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"http://www.baidu.com/link?url=0qFqVJWAJgsX9fYFVS2Zu4xvmH_qjH-xa4NUb_m-S1zM5QIQkxmVzXeh7dP--MHdCgasvRhKvBLbsz6g6XIPorIP5jeUS2PcwsxdHvXZEbtQqvvP-hErtX6lTrdYJxoy" \t "https://www.baidu.com/_blank" </w:instrText>
      </w:r>
      <w:r>
        <w:rPr>
          <w:rFonts w:hint="eastAsia" w:ascii="仿宋" w:hAnsi="仿宋" w:eastAsia="仿宋" w:cs="仿宋"/>
          <w:sz w:val="24"/>
          <w:szCs w:val="24"/>
        </w:rPr>
        <w:fldChar w:fldCharType="separate"/>
      </w:r>
      <w:r>
        <w:rPr>
          <w:rFonts w:hint="eastAsia" w:ascii="仿宋" w:hAnsi="仿宋" w:eastAsia="仿宋" w:cs="仿宋"/>
          <w:sz w:val="24"/>
          <w:szCs w:val="24"/>
        </w:rPr>
        <w:t>WW/T 0083《文物保护单位游客承载量评估规范》</w:t>
      </w:r>
      <w:r>
        <w:rPr>
          <w:rFonts w:hint="eastAsia" w:ascii="仿宋" w:hAnsi="仿宋" w:eastAsia="仿宋" w:cs="仿宋"/>
          <w:sz w:val="24"/>
          <w:szCs w:val="24"/>
        </w:rPr>
        <w:fldChar w:fldCharType="end"/>
      </w:r>
      <w:r>
        <w:rPr>
          <w:rFonts w:hint="eastAsia" w:ascii="仿宋" w:hAnsi="仿宋" w:eastAsia="仿宋" w:cs="仿宋"/>
          <w:sz w:val="24"/>
          <w:szCs w:val="24"/>
        </w:rPr>
        <w:t>、LB/T 034《景区最大承载量核定工作导则》和《</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"https://www.baidu.com/link?url=K_s-TS7cDItbOaqNrFwRn4rz2vVXNH5xMvYgTjfqlfMYPH2k-ZBrZdXMrO4Wy4flAFoFUUp6dMOOrivkmY_PnBpT3POAijF6aC2sP-_eFIi&amp;wd=&amp;eqid=f784241600020bfb00000002653a1669" \t "https://www.baidu.com/_blank" </w:instrText>
      </w:r>
      <w:r>
        <w:rPr>
          <w:rFonts w:hint="eastAsia" w:ascii="仿宋" w:hAnsi="仿宋" w:eastAsia="仿宋" w:cs="仿宋"/>
          <w:sz w:val="24"/>
          <w:szCs w:val="24"/>
        </w:rPr>
        <w:fldChar w:fldCharType="separate"/>
      </w:r>
      <w:r>
        <w:rPr>
          <w:rFonts w:hint="eastAsia" w:ascii="仿宋" w:hAnsi="仿宋" w:eastAsia="仿宋" w:cs="仿宋"/>
          <w:sz w:val="24"/>
          <w:szCs w:val="24"/>
        </w:rPr>
        <w:t>中华人民共和国民法典</w:t>
      </w:r>
      <w:r>
        <w:rPr>
          <w:rFonts w:hint="eastAsia" w:ascii="仿宋" w:hAnsi="仿宋" w:eastAsia="仿宋" w:cs="仿宋"/>
          <w:sz w:val="24"/>
          <w:szCs w:val="24"/>
        </w:rPr>
        <w:fldChar w:fldCharType="end"/>
      </w:r>
      <w:r>
        <w:rPr>
          <w:rFonts w:hint="eastAsia" w:ascii="仿宋" w:hAnsi="仿宋" w:eastAsia="仿宋" w:cs="仿宋"/>
          <w:sz w:val="24"/>
          <w:szCs w:val="24"/>
        </w:rPr>
        <w:t>》第八百一十八条“旅客不得随身携带或者在行李中夹带易燃、易爆、有毒、有腐蚀性、有放射性以及可能危及运输工具上人身和财产安全的危险物品或者违禁物品”。此外，国际民用航空组织（ICAO）《危险品航空安全运输技术细则》、国际航空运输协会（IATA）《危险品规则》也有相关规定，故宫博物院也出台了《禁止携带物品目录》等。</w:t>
      </w:r>
    </w:p>
    <w:p w14:paraId="645067BA">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有关出入口设置（7.2.</w:t>
      </w:r>
      <w:r>
        <w:rPr>
          <w:rFonts w:hint="eastAsia" w:ascii="仿宋" w:hAnsi="仿宋" w:eastAsia="仿宋" w:cs="仿宋"/>
          <w:sz w:val="24"/>
          <w:szCs w:val="24"/>
          <w:lang w:eastAsia="zh-CN"/>
        </w:rPr>
        <w:t>1）</w:t>
      </w:r>
      <w:r>
        <w:rPr>
          <w:rFonts w:hint="eastAsia" w:ascii="仿宋" w:hAnsi="仿宋" w:eastAsia="仿宋" w:cs="仿宋"/>
          <w:sz w:val="24"/>
          <w:szCs w:val="24"/>
        </w:rPr>
        <w:t>安检配置（7.2.</w:t>
      </w:r>
      <w:r>
        <w:rPr>
          <w:rFonts w:hint="eastAsia" w:ascii="仿宋" w:hAnsi="仿宋" w:eastAsia="仿宋" w:cs="仿宋"/>
          <w:sz w:val="24"/>
          <w:szCs w:val="24"/>
          <w:lang w:val="en-US" w:eastAsia="zh-CN"/>
        </w:rPr>
        <w:t>2</w:t>
      </w:r>
      <w:r>
        <w:rPr>
          <w:rFonts w:hint="eastAsia" w:ascii="仿宋" w:hAnsi="仿宋" w:eastAsia="仿宋" w:cs="仿宋"/>
          <w:sz w:val="24"/>
          <w:szCs w:val="24"/>
        </w:rPr>
        <w:t>、7.2.</w:t>
      </w:r>
      <w:r>
        <w:rPr>
          <w:rFonts w:hint="eastAsia" w:ascii="仿宋" w:hAnsi="仿宋" w:eastAsia="仿宋" w:cs="仿宋"/>
          <w:sz w:val="24"/>
          <w:szCs w:val="24"/>
          <w:lang w:val="en-US" w:eastAsia="zh-CN"/>
        </w:rPr>
        <w:t>3</w:t>
      </w:r>
      <w:r>
        <w:rPr>
          <w:rFonts w:hint="eastAsia" w:ascii="仿宋" w:hAnsi="仿宋" w:eastAsia="仿宋" w:cs="仿宋"/>
          <w:sz w:val="24"/>
          <w:szCs w:val="24"/>
        </w:rPr>
        <w:t>、7.2.</w:t>
      </w:r>
      <w:r>
        <w:rPr>
          <w:rFonts w:hint="eastAsia" w:ascii="仿宋" w:hAnsi="仿宋" w:eastAsia="仿宋" w:cs="仿宋"/>
          <w:sz w:val="24"/>
          <w:szCs w:val="24"/>
          <w:lang w:val="en-US" w:eastAsia="zh-CN"/>
        </w:rPr>
        <w:t>4</w:t>
      </w:r>
      <w:r>
        <w:rPr>
          <w:rFonts w:hint="eastAsia" w:ascii="仿宋" w:hAnsi="仿宋" w:eastAsia="仿宋" w:cs="仿宋"/>
          <w:sz w:val="24"/>
          <w:szCs w:val="24"/>
        </w:rPr>
        <w:t>、7.2.</w:t>
      </w:r>
      <w:r>
        <w:rPr>
          <w:rFonts w:hint="eastAsia" w:ascii="仿宋" w:hAnsi="仿宋" w:eastAsia="仿宋" w:cs="仿宋"/>
          <w:sz w:val="24"/>
          <w:szCs w:val="24"/>
          <w:lang w:val="en-US" w:eastAsia="zh-CN"/>
        </w:rPr>
        <w:t>5</w:t>
      </w:r>
      <w:r>
        <w:rPr>
          <w:rFonts w:hint="eastAsia" w:ascii="仿宋" w:hAnsi="仿宋" w:eastAsia="仿宋" w:cs="仿宋"/>
          <w:sz w:val="24"/>
          <w:szCs w:val="24"/>
        </w:rPr>
        <w:t>）等的要求主要依据GB</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50348, “6.4.7应根据安全管理要求及各受控区的出入权限要求，确定各个受控区，明确同权限受控区和高权限受控区”，JGJ66“4.5在观众出入口广场聚集的人群包括候展、候票和观展后停留的观众，还可能包括在突发事件时向广场疏散的观众，……广场宜设置避雨遮阴设施”，GB</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50348“4.1.4 入口和通道的防护应考虑防爆安全检查设备、人行通道闸和车辆阻挡装置的设置以及设置安全缓冲或隔离区等”。</w:t>
      </w:r>
    </w:p>
    <w:p w14:paraId="7BA83A49">
      <w:pPr>
        <w:pStyle w:val="3"/>
        <w:keepNext w:val="0"/>
        <w:keepLines w:val="0"/>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3" w:name="_Toc26708"/>
      <w:r>
        <w:rPr>
          <w:rFonts w:hint="eastAsia" w:ascii="仿宋" w:hAnsi="仿宋" w:eastAsia="仿宋" w:cs="仿宋"/>
          <w:sz w:val="24"/>
          <w:szCs w:val="24"/>
        </w:rPr>
        <w:t>安全检查管理</w:t>
      </w:r>
      <w:bookmarkEnd w:id="43"/>
    </w:p>
    <w:p w14:paraId="7FD0FC0D">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检查是博物馆安全保卫工作的重要内容。《博物馆安全保卫工作规定》第四条规定“博物馆行政领导的主要职责是：……每逢重大节日和重要活动，会同公安机关进行全馆安全大检查，发现隐患，认真整改，及早消除”，第十四条规定“……切实加强闭馆期间的警卫巡逻和干部值班制度”。《企业事业单位治安保卫工作条例》第七条规定“单位内部治安保卫工作的要求是：……（二） 单位范围内的治安保卫情况有人检查，重要部位得到重点保护，治安隐患及时得到排查”，第八条规定“单位制定的内部治安保卫制度应当包括下列内容：（一） 门卫、值班、巡查制度；……”第十一条规定“单位内部治安保卫机构、治安保卫人员应当履行下列职责：……（三） 在单位范围内进行治安防范巡逻和检查，建立巡逻、检查和治安隐患整改记录；……”。GA27《文物系统博物馆安全防范要求》“6.4.1 一级安全防范系统要按照整体纵深防护的指导思想进行设计。……周界步行巡逻时间大于30min时，宜设立巡更系统”。</w:t>
      </w:r>
    </w:p>
    <w:p w14:paraId="0F62708B">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当前博物馆在安全检查方面比较规范，主要问题是“巡查工作都主要依靠保安队伍，但对保安队伍巡查工作的效果监督和考评机制不健全”以及“有的博物馆巡查人员没有随身配套与监控中心联络的通讯器材，还有的博物馆夜间没有巡查、检查”的问题。</w:t>
      </w:r>
    </w:p>
    <w:p w14:paraId="4E8434AD">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因此，“7.3安全检查管理”重点是对“每日巡查、常态化安全检查、特殊时期安全检查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极端天气安全检查</w:t>
      </w:r>
      <w:r>
        <w:rPr>
          <w:rFonts w:hint="eastAsia" w:ascii="仿宋" w:hAnsi="仿宋" w:eastAsia="仿宋" w:cs="仿宋"/>
          <w:sz w:val="24"/>
          <w:szCs w:val="24"/>
        </w:rPr>
        <w:t>”的具体要求予以明确。“7.3.</w:t>
      </w:r>
      <w:r>
        <w:rPr>
          <w:rFonts w:hint="eastAsia" w:ascii="仿宋" w:hAnsi="仿宋" w:eastAsia="仿宋" w:cs="仿宋"/>
          <w:sz w:val="24"/>
          <w:szCs w:val="24"/>
          <w:lang w:val="en-US" w:eastAsia="zh-CN"/>
        </w:rPr>
        <w:t>2</w:t>
      </w:r>
      <w:r>
        <w:rPr>
          <w:rFonts w:hint="eastAsia" w:ascii="仿宋" w:hAnsi="仿宋" w:eastAsia="仿宋" w:cs="仿宋"/>
          <w:sz w:val="24"/>
          <w:szCs w:val="24"/>
        </w:rPr>
        <w:t>”“7.3.</w:t>
      </w:r>
      <w:r>
        <w:rPr>
          <w:rFonts w:hint="eastAsia" w:ascii="仿宋" w:hAnsi="仿宋" w:eastAsia="仿宋" w:cs="仿宋"/>
          <w:sz w:val="24"/>
          <w:szCs w:val="24"/>
          <w:lang w:val="en-US" w:eastAsia="zh-CN"/>
        </w:rPr>
        <w:t>3</w:t>
      </w:r>
      <w:r>
        <w:rPr>
          <w:rFonts w:hint="eastAsia" w:ascii="仿宋" w:hAnsi="仿宋" w:eastAsia="仿宋" w:cs="仿宋"/>
          <w:sz w:val="24"/>
          <w:szCs w:val="24"/>
        </w:rPr>
        <w:t>”是对每日巡查的周期、人员、巡查内容进行规范，主要参考GA27以及当前的修订草案中的相关内容“三级风险单位外周界巡查周期应不大于2h，三级风险单位博物馆开放时段内部区域巡查周期应不大于4h，一级外周界巡查周期应不大于1h，博物馆开放时段内部区域巡查周期应不大于2h”，以及DB</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12/537《企业事业单位内部治安保卫</w:t>
      </w:r>
      <w:r>
        <w:rPr>
          <w:rFonts w:hint="eastAsia" w:ascii="仿宋" w:hAnsi="仿宋" w:eastAsia="仿宋" w:cs="仿宋"/>
          <w:sz w:val="24"/>
          <w:szCs w:val="24"/>
          <w:lang w:val="en-US" w:eastAsia="zh-CN"/>
        </w:rPr>
        <w:t>规范</w:t>
      </w:r>
      <w:r>
        <w:rPr>
          <w:rFonts w:hint="eastAsia" w:ascii="仿宋" w:hAnsi="仿宋" w:eastAsia="仿宋" w:cs="仿宋"/>
          <w:sz w:val="24"/>
          <w:szCs w:val="24"/>
        </w:rPr>
        <w:t>》“5.7.2夜间巡逻应做好检查记录，对发现的疑声、疑味、疑物要迅速查明原因，妥善处理 ”。“7.3.</w:t>
      </w:r>
      <w:r>
        <w:rPr>
          <w:rFonts w:hint="eastAsia" w:ascii="仿宋" w:hAnsi="仿宋" w:eastAsia="仿宋" w:cs="仿宋"/>
          <w:sz w:val="24"/>
          <w:szCs w:val="24"/>
          <w:lang w:val="en-US" w:eastAsia="zh-CN"/>
        </w:rPr>
        <w:t>4</w:t>
      </w:r>
      <w:r>
        <w:rPr>
          <w:rFonts w:hint="eastAsia" w:ascii="仿宋" w:hAnsi="仿宋" w:eastAsia="仿宋" w:cs="仿宋"/>
          <w:sz w:val="24"/>
          <w:szCs w:val="24"/>
        </w:rPr>
        <w:t>”“7.3.</w:t>
      </w:r>
      <w:r>
        <w:rPr>
          <w:rFonts w:hint="eastAsia" w:ascii="仿宋" w:hAnsi="仿宋" w:eastAsia="仿宋" w:cs="仿宋"/>
          <w:sz w:val="24"/>
          <w:szCs w:val="24"/>
          <w:lang w:val="en-US" w:eastAsia="zh-CN"/>
        </w:rPr>
        <w:t>5</w:t>
      </w:r>
      <w:r>
        <w:rPr>
          <w:rFonts w:hint="eastAsia" w:ascii="仿宋" w:hAnsi="仿宋" w:eastAsia="仿宋" w:cs="仿宋"/>
          <w:sz w:val="24"/>
          <w:szCs w:val="24"/>
        </w:rPr>
        <w:t>”“7.3.</w:t>
      </w:r>
      <w:r>
        <w:rPr>
          <w:rFonts w:hint="eastAsia" w:ascii="仿宋" w:hAnsi="仿宋" w:eastAsia="仿宋" w:cs="仿宋"/>
          <w:sz w:val="24"/>
          <w:szCs w:val="24"/>
          <w:lang w:val="en-US" w:eastAsia="zh-CN"/>
        </w:rPr>
        <w:t>7</w:t>
      </w:r>
      <w:r>
        <w:rPr>
          <w:rFonts w:hint="eastAsia" w:ascii="仿宋" w:hAnsi="仿宋" w:eastAsia="仿宋" w:cs="仿宋"/>
          <w:sz w:val="24"/>
          <w:szCs w:val="24"/>
        </w:rPr>
        <w:t>”“7.3.</w:t>
      </w:r>
      <w:r>
        <w:rPr>
          <w:rFonts w:hint="eastAsia" w:ascii="仿宋" w:hAnsi="仿宋" w:eastAsia="仿宋" w:cs="仿宋"/>
          <w:sz w:val="24"/>
          <w:szCs w:val="24"/>
          <w:lang w:val="en-US" w:eastAsia="zh-CN"/>
        </w:rPr>
        <w:t>8</w:t>
      </w:r>
      <w:r>
        <w:rPr>
          <w:rFonts w:hint="eastAsia" w:ascii="仿宋" w:hAnsi="仿宋" w:eastAsia="仿宋" w:cs="仿宋"/>
          <w:sz w:val="24"/>
          <w:szCs w:val="24"/>
        </w:rPr>
        <w:t>”是常态化安全检查</w:t>
      </w:r>
      <w:r>
        <w:rPr>
          <w:rFonts w:hint="eastAsia" w:ascii="仿宋" w:hAnsi="仿宋" w:eastAsia="仿宋" w:cs="仿宋"/>
          <w:sz w:val="24"/>
          <w:szCs w:val="24"/>
          <w:lang w:eastAsia="zh-CN"/>
        </w:rPr>
        <w:t>、</w:t>
      </w:r>
      <w:r>
        <w:rPr>
          <w:rFonts w:hint="eastAsia" w:ascii="仿宋" w:hAnsi="仿宋" w:eastAsia="仿宋" w:cs="仿宋"/>
          <w:sz w:val="24"/>
          <w:szCs w:val="24"/>
        </w:rPr>
        <w:t>特殊时期安全检查</w:t>
      </w:r>
      <w:r>
        <w:rPr>
          <w:rFonts w:hint="eastAsia" w:ascii="仿宋" w:hAnsi="仿宋" w:eastAsia="仿宋" w:cs="仿宋"/>
          <w:sz w:val="24"/>
          <w:szCs w:val="24"/>
          <w:lang w:val="en-US" w:eastAsia="zh-CN"/>
        </w:rPr>
        <w:t>和极端天气安全检查</w:t>
      </w:r>
      <w:r>
        <w:rPr>
          <w:rFonts w:hint="eastAsia" w:ascii="仿宋" w:hAnsi="仿宋" w:eastAsia="仿宋" w:cs="仿宋"/>
          <w:sz w:val="24"/>
          <w:szCs w:val="24"/>
        </w:rPr>
        <w:t>的规范，是对《博物馆安全保卫工作规定》第四条规定、《企业事业单位治安保卫工作条例》第七条等相关要求的落实。</w:t>
      </w:r>
    </w:p>
    <w:p w14:paraId="40E5A2D2">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此外，“7.3.</w:t>
      </w:r>
      <w:r>
        <w:rPr>
          <w:rFonts w:hint="eastAsia" w:ascii="仿宋" w:hAnsi="仿宋" w:eastAsia="仿宋" w:cs="仿宋"/>
          <w:sz w:val="24"/>
          <w:szCs w:val="24"/>
          <w:lang w:val="en-US" w:eastAsia="zh-CN"/>
        </w:rPr>
        <w:t>6</w:t>
      </w:r>
      <w:r>
        <w:rPr>
          <w:rFonts w:hint="eastAsia" w:ascii="仿宋" w:hAnsi="仿宋" w:eastAsia="仿宋" w:cs="仿宋"/>
          <w:sz w:val="24"/>
          <w:szCs w:val="24"/>
        </w:rPr>
        <w:t>”是对发现问题的处理程序进行规范，“7.3.</w:t>
      </w:r>
      <w:r>
        <w:rPr>
          <w:rFonts w:hint="eastAsia" w:ascii="仿宋" w:hAnsi="仿宋" w:eastAsia="仿宋" w:cs="仿宋"/>
          <w:sz w:val="24"/>
          <w:szCs w:val="24"/>
          <w:lang w:val="en-US" w:eastAsia="zh-CN"/>
        </w:rPr>
        <w:t>9</w:t>
      </w:r>
      <w:r>
        <w:rPr>
          <w:rFonts w:hint="eastAsia" w:ascii="仿宋" w:hAnsi="仿宋" w:eastAsia="仿宋" w:cs="仿宋"/>
          <w:sz w:val="24"/>
          <w:szCs w:val="24"/>
        </w:rPr>
        <w:t>”是针对调研问题“对保安队伍巡查工作的效果监督和考评机制不健全”设计的要求，即“</w:t>
      </w:r>
      <w:r>
        <w:rPr>
          <w:rFonts w:hint="eastAsia" w:ascii="仿宋" w:hAnsi="仿宋" w:eastAsia="仿宋" w:cs="仿宋"/>
          <w:sz w:val="24"/>
          <w:szCs w:val="24"/>
          <w:lang w:val="en-GB"/>
        </w:rPr>
        <w:t>应对安全检查中发现的问题进行复查，对已完成的整改措施进行核查和评估</w:t>
      </w:r>
      <w:r>
        <w:rPr>
          <w:rFonts w:hint="eastAsia" w:ascii="仿宋" w:hAnsi="仿宋" w:eastAsia="仿宋" w:cs="仿宋"/>
          <w:sz w:val="24"/>
          <w:szCs w:val="24"/>
          <w:lang w:val="en-GB" w:eastAsia="zh-CN"/>
        </w:rPr>
        <w:t>，</w:t>
      </w:r>
      <w:r>
        <w:rPr>
          <w:rFonts w:hint="eastAsia" w:ascii="仿宋" w:hAnsi="仿宋" w:eastAsia="仿宋" w:cs="仿宋"/>
          <w:sz w:val="24"/>
          <w:szCs w:val="24"/>
          <w:lang w:val="en-US" w:eastAsia="zh-CN"/>
        </w:rPr>
        <w:t>并对检查质量、检察人员履职情况开展督导，持续改进</w:t>
      </w:r>
      <w:r>
        <w:rPr>
          <w:rFonts w:hint="eastAsia" w:ascii="仿宋" w:hAnsi="仿宋" w:eastAsia="仿宋" w:cs="仿宋"/>
          <w:sz w:val="24"/>
          <w:szCs w:val="24"/>
        </w:rPr>
        <w:t>检查</w:t>
      </w:r>
      <w:r>
        <w:rPr>
          <w:rFonts w:hint="eastAsia" w:ascii="仿宋" w:hAnsi="仿宋" w:eastAsia="仿宋" w:cs="仿宋"/>
          <w:sz w:val="24"/>
          <w:szCs w:val="24"/>
          <w:lang w:val="en-US" w:eastAsia="zh-CN"/>
        </w:rPr>
        <w:t>工作</w:t>
      </w:r>
      <w:r>
        <w:rPr>
          <w:rFonts w:hint="eastAsia" w:ascii="仿宋" w:hAnsi="仿宋" w:eastAsia="仿宋" w:cs="仿宋"/>
          <w:sz w:val="24"/>
          <w:szCs w:val="24"/>
        </w:rPr>
        <w:t>效果”。</w:t>
      </w:r>
    </w:p>
    <w:p w14:paraId="44A42130">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4" w:name="_Toc17012"/>
      <w:r>
        <w:rPr>
          <w:rFonts w:hint="eastAsia" w:ascii="仿宋" w:hAnsi="仿宋" w:eastAsia="仿宋" w:cs="仿宋"/>
          <w:sz w:val="24"/>
          <w:szCs w:val="24"/>
        </w:rPr>
        <w:t>值班值守管理</w:t>
      </w:r>
      <w:bookmarkEnd w:id="44"/>
    </w:p>
    <w:p w14:paraId="679A128A">
      <w:pPr>
        <w:pageBreakBefore w:val="0"/>
        <w:widowControl w:val="0"/>
        <w:kinsoku/>
        <w:wordWrap/>
        <w:overflowPunct w:val="0"/>
        <w:topLinePunct w:val="0"/>
        <w:autoSpaceDE/>
        <w:autoSpaceDN/>
        <w:bidi w:val="0"/>
        <w:adjustRightInd/>
        <w:spacing w:line="400" w:lineRule="exact"/>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博物馆安全保卫工作规定》第十四条规定“……切实加强闭馆期间的警卫巡逻和干部值班制度”。《企业事业单位治安保卫工作条例》第八条规定“单位制定的内部治安保卫制度应当包括下列内容：（一）门卫、值班、巡查制度；……”。</w:t>
      </w:r>
      <w:r>
        <w:rPr>
          <w:rFonts w:hint="eastAsia" w:ascii="仿宋" w:hAnsi="仿宋" w:eastAsia="仿宋" w:cs="仿宋"/>
          <w:sz w:val="24"/>
          <w:szCs w:val="24"/>
          <w:lang w:eastAsia="zh-CN"/>
        </w:rPr>
        <w:t>《国家文物局关于加强文物博物馆单位开放安全管理工作的通知》</w:t>
      </w:r>
      <w:r>
        <w:rPr>
          <w:rFonts w:hint="eastAsia" w:ascii="仿宋" w:hAnsi="仿宋" w:eastAsia="仿宋" w:cs="仿宋"/>
          <w:sz w:val="24"/>
          <w:szCs w:val="24"/>
          <w:lang w:val="en-US" w:eastAsia="zh-CN"/>
        </w:rPr>
        <w:t>中要求“严格落实领导干部带班、关键岗位24小时值班和信息报告制度，在旅游旺季和重要时间节点加强人员值守，确保迅速有效应对处置突发事件，遇有重要紧急情况要立即请示报告。要强化极端天气等重大灾害防范应对，备好防灾物资，将防灾措施做到前头，落到实处，确保人员和文物安全。”</w:t>
      </w:r>
    </w:p>
    <w:p w14:paraId="1CC62BC0">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的主要问题是有些博物馆夜间没有值班人员（北京古陶文明博物馆），有博物馆只有1个人值班值守（石狮市博物馆），大部分博物馆值班值守工作都主要依靠保安队伍，但对保安队伍值班值守工作的效果监督和考评机制不健全。</w:t>
      </w:r>
    </w:p>
    <w:p w14:paraId="798922A3">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因此“7.4值班值守管理”重点明确了以下内容：7.4.</w:t>
      </w:r>
      <w:r>
        <w:rPr>
          <w:rFonts w:hint="eastAsia" w:ascii="仿宋" w:hAnsi="仿宋" w:eastAsia="仿宋" w:cs="仿宋"/>
          <w:sz w:val="24"/>
          <w:szCs w:val="24"/>
          <w:lang w:val="en-US" w:eastAsia="zh-CN"/>
        </w:rPr>
        <w:t>1明确了开放期间及闭馆后的值班值守岗位，实行领导带班制度；</w:t>
      </w:r>
      <w:r>
        <w:rPr>
          <w:rFonts w:hint="eastAsia" w:ascii="仿宋" w:hAnsi="仿宋" w:eastAsia="仿宋" w:cs="仿宋"/>
          <w:sz w:val="24"/>
          <w:szCs w:val="24"/>
        </w:rPr>
        <w:t>7.4.</w:t>
      </w:r>
      <w:r>
        <w:rPr>
          <w:rFonts w:hint="eastAsia" w:ascii="仿宋" w:hAnsi="仿宋" w:eastAsia="仿宋" w:cs="仿宋"/>
          <w:sz w:val="24"/>
          <w:szCs w:val="24"/>
          <w:lang w:val="en-US" w:eastAsia="zh-CN"/>
        </w:rPr>
        <w:t>2明确了</w:t>
      </w:r>
      <w:r>
        <w:rPr>
          <w:rFonts w:hint="eastAsia" w:ascii="仿宋" w:hAnsi="仿宋" w:eastAsia="仿宋" w:cs="仿宋"/>
          <w:sz w:val="24"/>
          <w:szCs w:val="24"/>
          <w:lang w:val="en-GB"/>
        </w:rPr>
        <w:t>藏品出入库、展品布撤展、鉴定、点交等活动期间应安排专职人员负责现场防护值守</w:t>
      </w:r>
      <w:r>
        <w:rPr>
          <w:rFonts w:hint="eastAsia" w:ascii="仿宋" w:hAnsi="仿宋" w:eastAsia="仿宋" w:cs="仿宋"/>
          <w:sz w:val="24"/>
          <w:szCs w:val="24"/>
          <w:lang w:val="en-GB" w:eastAsia="zh-CN"/>
        </w:rPr>
        <w:t>；</w:t>
      </w:r>
      <w:r>
        <w:rPr>
          <w:rFonts w:hint="eastAsia" w:ascii="仿宋" w:hAnsi="仿宋" w:eastAsia="仿宋" w:cs="仿宋"/>
          <w:sz w:val="24"/>
          <w:szCs w:val="24"/>
          <w:lang w:val="en-US" w:eastAsia="zh-CN"/>
        </w:rPr>
        <w:t>7.4.3明确了在旅游旺季、举办重大活动期间、极端天气等特殊时段，应提前制定专项值班值守方案，增加值班值守力量及巡查频次，预留应急力量。</w:t>
      </w:r>
    </w:p>
    <w:p w14:paraId="1D02C8C5">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5" w:name="_Toc13468"/>
      <w:r>
        <w:rPr>
          <w:rFonts w:hint="eastAsia" w:ascii="仿宋" w:hAnsi="仿宋" w:eastAsia="仿宋" w:cs="仿宋"/>
          <w:sz w:val="24"/>
          <w:szCs w:val="24"/>
        </w:rPr>
        <w:t>钥匙和门锁管理</w:t>
      </w:r>
      <w:bookmarkEnd w:id="45"/>
    </w:p>
    <w:p w14:paraId="0EDCE34B">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钥匙和门锁管理是物防的关键。当前各博物馆一般都是根据钥匙和门锁与文物的密切关系，采取分类分级管理的模式</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但</w:t>
      </w:r>
      <w:r>
        <w:rPr>
          <w:rFonts w:hint="eastAsia" w:ascii="仿宋" w:hAnsi="仿宋" w:eastAsia="仿宋" w:cs="仿宋"/>
          <w:sz w:val="24"/>
          <w:szCs w:val="24"/>
        </w:rPr>
        <w:t>还存在一定的不规范性，如有的博物馆存在钥匙带离馆区的现象，有的博物馆库房钥匙领取记录不完备。</w:t>
      </w:r>
    </w:p>
    <w:p w14:paraId="4B0870CA">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因此，“7.5钥匙和门锁管理”按照如下结构编写：7.5.</w:t>
      </w:r>
      <w:r>
        <w:rPr>
          <w:rFonts w:hint="eastAsia" w:ascii="仿宋" w:hAnsi="仿宋" w:eastAsia="仿宋" w:cs="仿宋"/>
          <w:sz w:val="24"/>
          <w:szCs w:val="24"/>
          <w:lang w:val="en-US" w:eastAsia="zh-CN"/>
        </w:rPr>
        <w:t>1</w:t>
      </w:r>
      <w:r>
        <w:rPr>
          <w:rFonts w:hint="eastAsia" w:ascii="仿宋" w:hAnsi="仿宋" w:eastAsia="仿宋" w:cs="仿宋"/>
          <w:sz w:val="24"/>
          <w:szCs w:val="24"/>
        </w:rPr>
        <w:t>提出“分级管理”要求；7.5.</w:t>
      </w:r>
      <w:r>
        <w:rPr>
          <w:rFonts w:hint="eastAsia" w:ascii="仿宋" w:hAnsi="仿宋" w:eastAsia="仿宋" w:cs="仿宋"/>
          <w:sz w:val="24"/>
          <w:szCs w:val="24"/>
          <w:lang w:val="en-US" w:eastAsia="zh-CN"/>
        </w:rPr>
        <w:t>2</w:t>
      </w:r>
      <w:r>
        <w:rPr>
          <w:rFonts w:hint="eastAsia" w:ascii="仿宋" w:hAnsi="仿宋" w:eastAsia="仿宋" w:cs="仿宋"/>
          <w:sz w:val="24"/>
          <w:szCs w:val="24"/>
        </w:rPr>
        <w:t>对</w:t>
      </w:r>
      <w:r>
        <w:rPr>
          <w:rFonts w:hint="eastAsia" w:ascii="仿宋" w:hAnsi="仿宋" w:eastAsia="仿宋" w:cs="仿宋"/>
          <w:sz w:val="24"/>
          <w:szCs w:val="24"/>
          <w:lang w:val="en-US" w:eastAsia="zh-CN"/>
        </w:rPr>
        <w:t>重点部位的钥匙管理</w:t>
      </w:r>
      <w:r>
        <w:rPr>
          <w:rFonts w:hint="eastAsia" w:ascii="仿宋" w:hAnsi="仿宋" w:eastAsia="仿宋" w:cs="仿宋"/>
          <w:sz w:val="24"/>
          <w:szCs w:val="24"/>
        </w:rPr>
        <w:t>提出</w:t>
      </w:r>
      <w:r>
        <w:rPr>
          <w:rFonts w:hint="eastAsia" w:ascii="仿宋" w:hAnsi="仿宋" w:eastAsia="仿宋" w:cs="仿宋"/>
          <w:sz w:val="24"/>
          <w:szCs w:val="24"/>
          <w:lang w:val="en-GB"/>
        </w:rPr>
        <w:t>专人负责管理</w:t>
      </w:r>
      <w:r>
        <w:rPr>
          <w:rFonts w:hint="eastAsia" w:ascii="仿宋" w:hAnsi="仿宋" w:eastAsia="仿宋" w:cs="仿宋"/>
          <w:sz w:val="24"/>
          <w:szCs w:val="24"/>
        </w:rPr>
        <w:t>要求</w:t>
      </w:r>
      <w:r>
        <w:rPr>
          <w:rFonts w:hint="eastAsia" w:ascii="仿宋" w:hAnsi="仿宋" w:eastAsia="仿宋" w:cs="仿宋"/>
          <w:sz w:val="24"/>
          <w:szCs w:val="24"/>
          <w:lang w:eastAsia="zh-CN"/>
        </w:rPr>
        <w:t>；</w:t>
      </w:r>
      <w:r>
        <w:rPr>
          <w:rFonts w:hint="eastAsia" w:ascii="仿宋" w:hAnsi="仿宋" w:eastAsia="仿宋" w:cs="仿宋"/>
          <w:sz w:val="24"/>
          <w:szCs w:val="24"/>
        </w:rPr>
        <w:t>7.5.</w:t>
      </w:r>
      <w:r>
        <w:rPr>
          <w:rFonts w:hint="eastAsia" w:ascii="仿宋" w:hAnsi="仿宋" w:eastAsia="仿宋" w:cs="仿宋"/>
          <w:sz w:val="24"/>
          <w:szCs w:val="24"/>
          <w:lang w:val="en-US" w:eastAsia="zh-CN"/>
        </w:rPr>
        <w:t>3</w:t>
      </w:r>
      <w:r>
        <w:rPr>
          <w:rFonts w:hint="eastAsia" w:ascii="仿宋" w:hAnsi="仿宋" w:eastAsia="仿宋" w:cs="仿宋"/>
          <w:sz w:val="24"/>
          <w:szCs w:val="24"/>
        </w:rPr>
        <w:t>对</w:t>
      </w:r>
      <w:r>
        <w:rPr>
          <w:rFonts w:hint="eastAsia" w:ascii="仿宋" w:hAnsi="仿宋" w:eastAsia="仿宋" w:cs="仿宋"/>
          <w:sz w:val="24"/>
          <w:szCs w:val="24"/>
          <w:lang w:val="en-US" w:eastAsia="zh-CN"/>
        </w:rPr>
        <w:t>文物库房提出“双人双锁、双人出入库”的单独要求；</w:t>
      </w:r>
      <w:r>
        <w:rPr>
          <w:rFonts w:hint="eastAsia" w:ascii="仿宋" w:hAnsi="仿宋" w:eastAsia="仿宋" w:cs="仿宋"/>
          <w:sz w:val="24"/>
          <w:szCs w:val="24"/>
        </w:rPr>
        <w:t>7.5.4</w:t>
      </w:r>
      <w:r>
        <w:rPr>
          <w:rFonts w:hint="eastAsia" w:ascii="仿宋" w:hAnsi="仿宋" w:eastAsia="仿宋" w:cs="仿宋"/>
          <w:sz w:val="24"/>
          <w:szCs w:val="24"/>
          <w:lang w:val="en-US" w:eastAsia="zh-CN"/>
        </w:rPr>
        <w:t>提出展厅、库房等文物存放场所的钥匙应指定授权使用人员名单并备案的要求；</w:t>
      </w:r>
      <w:r>
        <w:rPr>
          <w:rFonts w:hint="eastAsia" w:ascii="仿宋" w:hAnsi="仿宋" w:eastAsia="仿宋" w:cs="仿宋"/>
          <w:sz w:val="24"/>
          <w:szCs w:val="24"/>
        </w:rPr>
        <w:t>7.5.5和7.5.6提出了钥匙和门锁</w:t>
      </w:r>
      <w:r>
        <w:rPr>
          <w:rFonts w:hint="eastAsia" w:ascii="仿宋" w:hAnsi="仿宋" w:eastAsia="仿宋" w:cs="仿宋"/>
          <w:sz w:val="24"/>
          <w:szCs w:val="24"/>
          <w:lang w:val="en-US" w:eastAsia="zh-CN"/>
        </w:rPr>
        <w:t>维保、更换</w:t>
      </w:r>
      <w:r>
        <w:rPr>
          <w:rFonts w:hint="eastAsia" w:ascii="仿宋" w:hAnsi="仿宋" w:eastAsia="仿宋" w:cs="仿宋"/>
          <w:sz w:val="24"/>
          <w:szCs w:val="24"/>
        </w:rPr>
        <w:t>以及发生丢失情况时，应采取的处理流程；7.5.7和7.5.8是对两种特殊情况，即持有钥匙的人员离职或岗位变动以及因特殊情况，需在夜间领取钥匙进入封闭区域时应满足的规范进行明确。</w:t>
      </w:r>
    </w:p>
    <w:p w14:paraId="1DDBC63C">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6" w:name="_Toc2488"/>
      <w:r>
        <w:rPr>
          <w:rFonts w:hint="eastAsia" w:ascii="仿宋" w:hAnsi="仿宋" w:eastAsia="仿宋" w:cs="仿宋"/>
          <w:sz w:val="24"/>
          <w:szCs w:val="24"/>
        </w:rPr>
        <w:t>证件管理</w:t>
      </w:r>
      <w:bookmarkEnd w:id="46"/>
    </w:p>
    <w:p w14:paraId="13509EE7">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《企事业单位内部治安保卫》第十一条规定“</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"https://baike.baidu.com/item/%E4%BA%BA%E8%BA%AB%E5%AE%89%E5%85%A8" \t "http://zwfw-new.hunan.gov.cn/hnvirtualhall/zcwj/_blank" </w:instrText>
      </w:r>
      <w:r>
        <w:rPr>
          <w:rFonts w:hint="eastAsia" w:ascii="仿宋" w:hAnsi="仿宋" w:eastAsia="仿宋" w:cs="仿宋"/>
          <w:sz w:val="24"/>
          <w:szCs w:val="24"/>
        </w:rPr>
        <w:fldChar w:fldCharType="separate"/>
      </w:r>
      <w:r>
        <w:rPr>
          <w:rFonts w:hint="eastAsia" w:ascii="仿宋" w:hAnsi="仿宋" w:eastAsia="仿宋" w:cs="仿宋"/>
          <w:sz w:val="24"/>
          <w:szCs w:val="24"/>
        </w:rPr>
        <w:t>单位内部治安保卫机构、治安保卫人员应当履行下列职责：</w:t>
      </w:r>
      <w:r>
        <w:rPr>
          <w:rFonts w:hint="eastAsia" w:ascii="仿宋" w:hAnsi="仿宋" w:eastAsia="仿宋" w:cs="仿宋"/>
          <w:sz w:val="24"/>
          <w:szCs w:val="24"/>
        </w:rPr>
        <w:fldChar w:fldCharType="end"/>
      </w:r>
      <w:r>
        <w:rPr>
          <w:rFonts w:hint="eastAsia" w:ascii="仿宋" w:hAnsi="仿宋" w:eastAsia="仿宋" w:cs="仿宋"/>
          <w:sz w:val="24"/>
          <w:szCs w:val="24"/>
        </w:rPr>
        <w:t>……</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"https://baike.baidu.com/item/%E4%BA%BA%E8%BA%AB%E5%AE%89%E5%85%A8" \t "http://zwfw-new.hunan.gov.cn/hnvirtualhall/zcwj/_blank" </w:instrText>
      </w:r>
      <w:r>
        <w:rPr>
          <w:rFonts w:hint="eastAsia" w:ascii="仿宋" w:hAnsi="仿宋" w:eastAsia="仿宋" w:cs="仿宋"/>
          <w:sz w:val="24"/>
          <w:szCs w:val="24"/>
        </w:rPr>
        <w:fldChar w:fldCharType="separate"/>
      </w:r>
      <w:r>
        <w:rPr>
          <w:rFonts w:hint="eastAsia" w:ascii="仿宋" w:hAnsi="仿宋" w:eastAsia="仿宋" w:cs="仿宋"/>
          <w:sz w:val="24"/>
          <w:szCs w:val="24"/>
        </w:rPr>
        <w:t>（二）根据需要，检查进入本单位人员的证件，登记出入的物品和车辆</w:t>
      </w:r>
      <w:r>
        <w:rPr>
          <w:rFonts w:hint="eastAsia" w:ascii="仿宋" w:hAnsi="仿宋" w:eastAsia="仿宋" w:cs="仿宋"/>
          <w:sz w:val="24"/>
          <w:szCs w:val="24"/>
        </w:rPr>
        <w:fldChar w:fldCharType="end"/>
      </w:r>
      <w:r>
        <w:rPr>
          <w:rFonts w:hint="eastAsia" w:ascii="仿宋" w:hAnsi="仿宋" w:eastAsia="仿宋" w:cs="仿宋"/>
          <w:sz w:val="24"/>
          <w:szCs w:val="24"/>
        </w:rPr>
        <w:t>”。</w:t>
      </w:r>
    </w:p>
    <w:p w14:paraId="16ECB2C0">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调研发现，目前各博物馆在证件管理方面存在的主要问题有：很多博物馆因人员比较少，没有证件管理，靠和门岗人员“脸熟、认识”入馆；证件办理前的政审，以及办理后有效期管理、回收方面的机制不完善。</w:t>
      </w:r>
    </w:p>
    <w:p w14:paraId="11923762">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因此，“7.6证件管理”重点是</w:t>
      </w:r>
      <w:r>
        <w:rPr>
          <w:rFonts w:hint="eastAsia" w:ascii="仿宋" w:hAnsi="仿宋" w:eastAsia="仿宋" w:cs="仿宋"/>
          <w:sz w:val="24"/>
          <w:szCs w:val="24"/>
          <w:lang w:val="en-US" w:eastAsia="zh-CN"/>
        </w:rPr>
        <w:t>7.6.1明确证件管理的部门及形式；7.6.2和7.6.3明确证件应与人员信息、权限保持一致</w:t>
      </w:r>
      <w:r>
        <w:rPr>
          <w:rFonts w:hint="eastAsia" w:ascii="仿宋" w:hAnsi="仿宋" w:eastAsia="仿宋" w:cs="仿宋"/>
          <w:sz w:val="24"/>
          <w:szCs w:val="24"/>
        </w:rPr>
        <w:t>的要求</w:t>
      </w:r>
      <w:r>
        <w:rPr>
          <w:rFonts w:hint="eastAsia" w:ascii="仿宋" w:hAnsi="仿宋" w:eastAsia="仿宋" w:cs="仿宋"/>
          <w:sz w:val="24"/>
          <w:szCs w:val="24"/>
          <w:lang w:eastAsia="zh-CN"/>
        </w:rPr>
        <w:t>；</w:t>
      </w:r>
    </w:p>
    <w:p w14:paraId="316376F4">
      <w:pPr>
        <w:pStyle w:val="3"/>
        <w:keepNext w:val="0"/>
        <w:keepLines w:val="0"/>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7" w:name="_Toc16409"/>
      <w:r>
        <w:rPr>
          <w:rFonts w:hint="eastAsia" w:ascii="仿宋" w:hAnsi="仿宋" w:eastAsia="仿宋" w:cs="仿宋"/>
          <w:sz w:val="24"/>
          <w:szCs w:val="24"/>
        </w:rPr>
        <w:t>电子防范系统管理</w:t>
      </w:r>
      <w:bookmarkEnd w:id="47"/>
    </w:p>
    <w:p w14:paraId="4FD74C00">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博物馆安全保卫工作规定》第二十条规定“博物馆要对文物库房和陈列室安装必要的防盗报警设备，并要因地制宜，制订技术防范规划”，第二十四条规定“技术安全设备较多的控制室，必须设专职人员负责安装、检查、维修和使用。值班员必须熟悉机器性能、信号使用和对紧急情况的处理。要坚持双人值班，建立严格的值班登记制度。人员要保持相对稳定，并注意培训专门的技术人才。”GB/T16571《博物馆和文物保护单位安全防范系统要求》规定三级及以上的风险单位应满足“监控中心配置值班人员，确保每周7*24h有人员值守。GB 50348</w:t>
      </w:r>
      <w:r>
        <w:rPr>
          <w:rFonts w:hint="eastAsia" w:ascii="仿宋" w:hAnsi="仿宋" w:eastAsia="仿宋" w:cs="仿宋"/>
          <w:sz w:val="24"/>
          <w:szCs w:val="24"/>
          <w:lang w:val="en-US" w:eastAsia="zh-CN"/>
        </w:rPr>
        <w:t>的6.4.5的7，规定了“防范恐怖袭击重点目标的视频图像信息保存期限不应少于 90d，其他目标的视频图像信息保存期限不应少于 30d”；6.12.4规定了备用电源的相关要求“4）入侵和紧急报警系统的应急供电时间不宜小于8h；5）视频监控系统关键设备的应急供电时间不宜小于1h”。</w:t>
      </w:r>
      <w:r>
        <w:rPr>
          <w:rFonts w:hint="eastAsia" w:ascii="仿宋" w:hAnsi="仿宋" w:eastAsia="仿宋" w:cs="仿宋"/>
          <w:sz w:val="24"/>
          <w:szCs w:val="24"/>
        </w:rPr>
        <w:t>此外，GA27-2002《文物系统博物馆风险等级和安全防护级别的规定》GB/T 32581《入侵和紧急报警系统技术要求》GB/T 37078《出入口控制系统技术要求》等都是与技防系统相关的标准。</w:t>
      </w:r>
    </w:p>
    <w:p w14:paraId="118B8248">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调研发现，当前博物馆在电子防范系统管理方面存在的主要问题是重建设轻升级改造和运维，很多系统存在老化，性能不符合要求、值班管理不规范等。</w:t>
      </w:r>
    </w:p>
    <w:p w14:paraId="3011B54F">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因此，“7.7 电子防范系统管理”方面</w:t>
      </w:r>
      <w:r>
        <w:rPr>
          <w:rFonts w:hint="eastAsia" w:ascii="仿宋" w:hAnsi="仿宋" w:eastAsia="仿宋" w:cs="仿宋"/>
          <w:sz w:val="24"/>
          <w:szCs w:val="24"/>
          <w:lang w:eastAsia="zh-CN"/>
        </w:rPr>
        <w:t>重点</w:t>
      </w:r>
      <w:r>
        <w:rPr>
          <w:rFonts w:hint="eastAsia" w:ascii="仿宋" w:hAnsi="仿宋" w:eastAsia="仿宋" w:cs="仿宋"/>
          <w:sz w:val="24"/>
          <w:szCs w:val="24"/>
        </w:rPr>
        <w:t>明确了值班、维保和故障管理的要求。其中，7.7.</w:t>
      </w:r>
      <w:r>
        <w:rPr>
          <w:rFonts w:hint="eastAsia" w:ascii="仿宋" w:hAnsi="仿宋" w:eastAsia="仿宋" w:cs="仿宋"/>
          <w:sz w:val="24"/>
          <w:szCs w:val="24"/>
          <w:lang w:val="en-US" w:eastAsia="zh-CN"/>
        </w:rPr>
        <w:t>1</w:t>
      </w:r>
      <w:r>
        <w:rPr>
          <w:rFonts w:hint="eastAsia" w:ascii="仿宋" w:hAnsi="仿宋" w:eastAsia="仿宋" w:cs="仿宋"/>
          <w:sz w:val="24"/>
          <w:szCs w:val="24"/>
        </w:rPr>
        <w:t>主要是明确“分区管理”以及关涉施工、展厅布展等工作时电子防范系统的管理要求</w:t>
      </w:r>
      <w:r>
        <w:rPr>
          <w:rFonts w:hint="eastAsia" w:ascii="仿宋" w:hAnsi="仿宋" w:eastAsia="仿宋" w:cs="仿宋"/>
          <w:sz w:val="24"/>
          <w:szCs w:val="24"/>
          <w:lang w:eastAsia="zh-CN"/>
        </w:rPr>
        <w:t>；</w:t>
      </w:r>
      <w:r>
        <w:rPr>
          <w:rFonts w:hint="eastAsia" w:ascii="仿宋" w:hAnsi="仿宋" w:eastAsia="仿宋" w:cs="仿宋"/>
          <w:sz w:val="24"/>
          <w:szCs w:val="24"/>
        </w:rPr>
        <w:t>7.7.</w:t>
      </w:r>
      <w:r>
        <w:rPr>
          <w:rFonts w:hint="eastAsia" w:ascii="仿宋" w:hAnsi="仿宋" w:eastAsia="仿宋" w:cs="仿宋"/>
          <w:sz w:val="24"/>
          <w:szCs w:val="24"/>
          <w:lang w:val="en-US" w:eastAsia="zh-CN"/>
        </w:rPr>
        <w:t>2</w:t>
      </w:r>
      <w:r>
        <w:rPr>
          <w:rFonts w:hint="eastAsia" w:ascii="仿宋" w:hAnsi="仿宋" w:eastAsia="仿宋" w:cs="仿宋"/>
          <w:sz w:val="24"/>
          <w:szCs w:val="24"/>
        </w:rPr>
        <w:t>、7.7.</w:t>
      </w:r>
      <w:r>
        <w:rPr>
          <w:rFonts w:hint="eastAsia" w:ascii="仿宋" w:hAnsi="仿宋" w:eastAsia="仿宋" w:cs="仿宋"/>
          <w:sz w:val="24"/>
          <w:szCs w:val="24"/>
          <w:lang w:val="en-US" w:eastAsia="zh-CN"/>
        </w:rPr>
        <w:t>3明确负责电子防范系统操作和管理人员的值班时间和拆装要求；</w:t>
      </w:r>
      <w:r>
        <w:rPr>
          <w:rFonts w:hint="eastAsia" w:ascii="仿宋" w:hAnsi="仿宋" w:eastAsia="仿宋" w:cs="仿宋"/>
          <w:sz w:val="24"/>
          <w:szCs w:val="24"/>
        </w:rPr>
        <w:t>7.7.</w:t>
      </w:r>
      <w:r>
        <w:rPr>
          <w:rFonts w:hint="eastAsia" w:ascii="仿宋" w:hAnsi="仿宋" w:eastAsia="仿宋" w:cs="仿宋"/>
          <w:sz w:val="24"/>
          <w:szCs w:val="24"/>
          <w:lang w:val="en-US" w:eastAsia="zh-CN"/>
        </w:rPr>
        <w:t>4</w:t>
      </w:r>
      <w:r>
        <w:rPr>
          <w:rFonts w:hint="eastAsia" w:ascii="仿宋" w:hAnsi="仿宋" w:eastAsia="仿宋" w:cs="仿宋"/>
          <w:sz w:val="24"/>
          <w:szCs w:val="24"/>
        </w:rPr>
        <w:t>、7.7.</w:t>
      </w:r>
      <w:r>
        <w:rPr>
          <w:rFonts w:hint="eastAsia" w:ascii="仿宋" w:hAnsi="仿宋" w:eastAsia="仿宋" w:cs="仿宋"/>
          <w:sz w:val="24"/>
          <w:szCs w:val="24"/>
          <w:lang w:val="en-US" w:eastAsia="zh-CN"/>
        </w:rPr>
        <w:t>5</w:t>
      </w:r>
      <w:r>
        <w:rPr>
          <w:rFonts w:hint="eastAsia" w:ascii="仿宋" w:hAnsi="仿宋" w:eastAsia="仿宋" w:cs="仿宋"/>
          <w:sz w:val="24"/>
          <w:szCs w:val="24"/>
        </w:rPr>
        <w:t>、7.7.</w:t>
      </w:r>
      <w:r>
        <w:rPr>
          <w:rFonts w:hint="eastAsia" w:ascii="仿宋" w:hAnsi="仿宋" w:eastAsia="仿宋" w:cs="仿宋"/>
          <w:sz w:val="24"/>
          <w:szCs w:val="24"/>
          <w:lang w:val="en-US" w:eastAsia="zh-CN"/>
        </w:rPr>
        <w:t>6</w:t>
      </w:r>
      <w:r>
        <w:rPr>
          <w:rFonts w:hint="eastAsia" w:ascii="仿宋" w:hAnsi="仿宋" w:eastAsia="仿宋" w:cs="仿宋"/>
          <w:sz w:val="24"/>
          <w:szCs w:val="24"/>
        </w:rPr>
        <w:t>、7.7.7是监控中心的相关要求</w:t>
      </w:r>
      <w:r>
        <w:rPr>
          <w:rFonts w:hint="eastAsia" w:ascii="仿宋" w:hAnsi="仿宋" w:eastAsia="仿宋" w:cs="仿宋"/>
          <w:sz w:val="24"/>
          <w:szCs w:val="24"/>
          <w:lang w:eastAsia="zh-CN"/>
        </w:rPr>
        <w:t>；</w:t>
      </w:r>
      <w:r>
        <w:rPr>
          <w:rFonts w:hint="eastAsia" w:ascii="仿宋" w:hAnsi="仿宋" w:eastAsia="仿宋" w:cs="仿宋"/>
          <w:sz w:val="24"/>
          <w:szCs w:val="24"/>
        </w:rPr>
        <w:t>7.7.8是</w:t>
      </w:r>
      <w:r>
        <w:rPr>
          <w:rFonts w:hint="eastAsia" w:ascii="仿宋" w:hAnsi="仿宋" w:eastAsia="仿宋" w:cs="仿宋"/>
          <w:sz w:val="24"/>
          <w:szCs w:val="24"/>
          <w:lang w:val="en-US" w:eastAsia="zh-CN"/>
        </w:rPr>
        <w:t>录像信息保存期限</w:t>
      </w:r>
      <w:r>
        <w:rPr>
          <w:rFonts w:hint="eastAsia" w:ascii="仿宋" w:hAnsi="仿宋" w:eastAsia="仿宋" w:cs="仿宋"/>
          <w:sz w:val="24"/>
          <w:szCs w:val="24"/>
        </w:rPr>
        <w:t>的相关要求</w:t>
      </w:r>
      <w:r>
        <w:rPr>
          <w:rFonts w:hint="eastAsia" w:ascii="仿宋" w:hAnsi="仿宋" w:eastAsia="仿宋" w:cs="仿宋"/>
          <w:sz w:val="24"/>
          <w:szCs w:val="24"/>
          <w:lang w:eastAsia="zh-CN"/>
        </w:rPr>
        <w:t>；</w:t>
      </w:r>
      <w:r>
        <w:rPr>
          <w:rFonts w:hint="eastAsia" w:ascii="仿宋" w:hAnsi="仿宋" w:eastAsia="仿宋" w:cs="仿宋"/>
          <w:sz w:val="24"/>
          <w:szCs w:val="24"/>
        </w:rPr>
        <w:t>7.7.9是</w:t>
      </w:r>
      <w:r>
        <w:rPr>
          <w:rFonts w:hint="eastAsia" w:ascii="仿宋" w:hAnsi="仿宋" w:eastAsia="仿宋" w:cs="仿宋"/>
          <w:sz w:val="24"/>
          <w:szCs w:val="24"/>
          <w:lang w:val="en-US" w:eastAsia="zh-CN"/>
        </w:rPr>
        <w:t>电子防范系统维护保养要求；7.7.10是电子防范系统</w:t>
      </w:r>
      <w:r>
        <w:rPr>
          <w:rFonts w:hint="eastAsia" w:ascii="仿宋" w:hAnsi="仿宋" w:eastAsia="仿宋" w:cs="仿宋"/>
          <w:sz w:val="24"/>
          <w:szCs w:val="24"/>
        </w:rPr>
        <w:t>集成共享的规范</w:t>
      </w:r>
      <w:r>
        <w:rPr>
          <w:rFonts w:hint="eastAsia" w:ascii="仿宋" w:hAnsi="仿宋" w:eastAsia="仿宋" w:cs="仿宋"/>
          <w:sz w:val="24"/>
          <w:szCs w:val="24"/>
          <w:lang w:eastAsia="zh-CN"/>
        </w:rPr>
        <w:t>；</w:t>
      </w:r>
      <w:r>
        <w:rPr>
          <w:rFonts w:hint="eastAsia" w:ascii="仿宋" w:hAnsi="仿宋" w:eastAsia="仿宋" w:cs="仿宋"/>
          <w:sz w:val="24"/>
          <w:szCs w:val="24"/>
        </w:rPr>
        <w:t>7.7.1</w:t>
      </w:r>
      <w:r>
        <w:rPr>
          <w:rFonts w:hint="eastAsia" w:ascii="仿宋" w:hAnsi="仿宋" w:eastAsia="仿宋" w:cs="仿宋"/>
          <w:sz w:val="24"/>
          <w:szCs w:val="24"/>
          <w:lang w:val="en-US" w:eastAsia="zh-CN"/>
        </w:rPr>
        <w:t>1</w:t>
      </w:r>
      <w:r>
        <w:rPr>
          <w:rFonts w:hint="eastAsia" w:ascii="仿宋" w:hAnsi="仿宋" w:eastAsia="仿宋" w:cs="仿宋"/>
          <w:sz w:val="24"/>
          <w:szCs w:val="24"/>
        </w:rPr>
        <w:t>是故障处理的要求</w:t>
      </w:r>
      <w:r>
        <w:rPr>
          <w:rFonts w:hint="eastAsia" w:ascii="仿宋" w:hAnsi="仿宋" w:eastAsia="仿宋" w:cs="仿宋"/>
          <w:sz w:val="24"/>
          <w:szCs w:val="24"/>
          <w:lang w:eastAsia="zh-CN"/>
        </w:rPr>
        <w:t>；</w:t>
      </w:r>
      <w:r>
        <w:rPr>
          <w:rFonts w:hint="eastAsia" w:ascii="仿宋" w:hAnsi="仿宋" w:eastAsia="仿宋" w:cs="仿宋"/>
          <w:sz w:val="24"/>
          <w:szCs w:val="24"/>
        </w:rPr>
        <w:t>7.7.1</w:t>
      </w:r>
      <w:r>
        <w:rPr>
          <w:rFonts w:hint="eastAsia" w:ascii="仿宋" w:hAnsi="仿宋" w:eastAsia="仿宋" w:cs="仿宋"/>
          <w:sz w:val="24"/>
          <w:szCs w:val="24"/>
          <w:lang w:val="en-US" w:eastAsia="zh-CN"/>
        </w:rPr>
        <w:t>2</w:t>
      </w:r>
      <w:r>
        <w:rPr>
          <w:rFonts w:hint="eastAsia" w:ascii="仿宋" w:hAnsi="仿宋" w:eastAsia="仿宋" w:cs="仿宋"/>
          <w:sz w:val="24"/>
          <w:szCs w:val="24"/>
        </w:rPr>
        <w:t>是关于备用电源的要求，来源于GB</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55029-2022中的3.5.1中的要求。</w:t>
      </w:r>
    </w:p>
    <w:p w14:paraId="525D58BB">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default" w:ascii="仿宋" w:hAnsi="仿宋" w:eastAsia="仿宋" w:cs="仿宋"/>
          <w:sz w:val="24"/>
          <w:szCs w:val="24"/>
          <w:lang w:val="en-US"/>
        </w:rPr>
      </w:pPr>
      <w:bookmarkStart w:id="48" w:name="_Toc4740"/>
      <w:r>
        <w:rPr>
          <w:rFonts w:hint="eastAsia" w:ascii="仿宋" w:hAnsi="仿宋" w:eastAsia="仿宋" w:cs="仿宋"/>
          <w:sz w:val="24"/>
          <w:szCs w:val="24"/>
        </w:rPr>
        <w:t>布撤展安全</w:t>
      </w:r>
      <w:r>
        <w:rPr>
          <w:rFonts w:hint="eastAsia" w:ascii="仿宋" w:hAnsi="仿宋" w:eastAsia="仿宋" w:cs="仿宋"/>
          <w:sz w:val="24"/>
          <w:szCs w:val="24"/>
          <w:lang w:val="en-US" w:eastAsia="zh-CN"/>
        </w:rPr>
        <w:t>管理</w:t>
      </w:r>
    </w:p>
    <w:p w14:paraId="303312E4">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调研发现，博物馆安保部门对布展的安全方案审核根据各单位的规模、管理能力、展览活动规格等尚不统一。考虑到标准适用于全国各类的博物馆，但展览活动无论规模大小，均具有人员聚集性</w:t>
      </w:r>
      <w:r>
        <w:rPr>
          <w:rFonts w:hint="eastAsia" w:ascii="仿宋" w:hAnsi="仿宋" w:eastAsia="仿宋" w:cs="仿宋"/>
          <w:sz w:val="24"/>
          <w:szCs w:val="24"/>
          <w:lang w:eastAsia="zh-CN"/>
        </w:rPr>
        <w:t>，具</w:t>
      </w:r>
      <w:r>
        <w:rPr>
          <w:rFonts w:hint="eastAsia" w:ascii="仿宋" w:hAnsi="仿宋" w:eastAsia="仿宋" w:cs="仿宋"/>
          <w:sz w:val="24"/>
          <w:szCs w:val="24"/>
        </w:rPr>
        <w:t>有一定的安全风险，因此，在本标准</w:t>
      </w:r>
      <w:r>
        <w:rPr>
          <w:rFonts w:hint="eastAsia" w:ascii="仿宋" w:hAnsi="仿宋" w:eastAsia="仿宋" w:cs="仿宋"/>
          <w:sz w:val="24"/>
          <w:szCs w:val="24"/>
          <w:lang w:val="en-US" w:eastAsia="zh-CN"/>
        </w:rPr>
        <w:t>综合GB/T 50326、WW/T 0089、WW/T 0018、WW/T 0019等要求，</w:t>
      </w:r>
      <w:r>
        <w:rPr>
          <w:rFonts w:hint="eastAsia" w:ascii="仿宋" w:hAnsi="仿宋" w:eastAsia="仿宋" w:cs="仿宋"/>
          <w:sz w:val="24"/>
          <w:szCs w:val="24"/>
        </w:rPr>
        <w:t>提出原则性建议，包括7.</w:t>
      </w:r>
      <w:r>
        <w:rPr>
          <w:rFonts w:hint="eastAsia" w:ascii="仿宋" w:hAnsi="仿宋" w:eastAsia="仿宋" w:cs="仿宋"/>
          <w:sz w:val="24"/>
          <w:szCs w:val="24"/>
          <w:lang w:val="en-US" w:eastAsia="zh-CN"/>
        </w:rPr>
        <w:t>8</w:t>
      </w:r>
      <w:r>
        <w:rPr>
          <w:rFonts w:hint="eastAsia" w:ascii="仿宋" w:hAnsi="仿宋" w:eastAsia="仿宋" w:cs="仿宋"/>
          <w:sz w:val="24"/>
          <w:szCs w:val="24"/>
        </w:rPr>
        <w:t>.1 博物馆布撤展方案设计应兼顾观众秩序维护需求，安全保卫方面内容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7.8.2 </w:t>
      </w:r>
      <w:r>
        <w:rPr>
          <w:rFonts w:hint="eastAsia" w:ascii="仿宋" w:hAnsi="仿宋" w:eastAsia="仿宋" w:cs="仿宋"/>
          <w:sz w:val="24"/>
          <w:szCs w:val="24"/>
          <w:lang w:eastAsia="zh-CN"/>
        </w:rPr>
        <w:t>安全保卫相关部门应对布撤展安全保卫</w:t>
      </w:r>
      <w:r>
        <w:rPr>
          <w:rFonts w:hint="eastAsia" w:ascii="仿宋" w:hAnsi="仿宋" w:eastAsia="仿宋" w:cs="仿宋"/>
          <w:sz w:val="24"/>
          <w:szCs w:val="24"/>
          <w:lang w:val="en-US" w:eastAsia="zh-CN"/>
        </w:rPr>
        <w:t>相关内容</w:t>
      </w:r>
      <w:r>
        <w:rPr>
          <w:rFonts w:hint="eastAsia" w:ascii="仿宋" w:hAnsi="仿宋" w:eastAsia="仿宋" w:cs="仿宋"/>
          <w:sz w:val="24"/>
          <w:szCs w:val="24"/>
          <w:lang w:eastAsia="zh-CN"/>
        </w:rPr>
        <w:t>进行审核和验收，验证相关区域人员防护、物理防范和电子防范系统的有效性；7.</w:t>
      </w:r>
      <w:r>
        <w:rPr>
          <w:rFonts w:hint="eastAsia" w:ascii="仿宋" w:hAnsi="仿宋" w:eastAsia="仿宋" w:cs="仿宋"/>
          <w:sz w:val="24"/>
          <w:szCs w:val="24"/>
          <w:lang w:val="en-US" w:eastAsia="zh-CN"/>
        </w:rPr>
        <w:t>8</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 xml:space="preserve"> 布撤展工作应满足GB/T 50326、WW/T 0089、WW/T 0018、WW/T 0019要求，涉及临时用电、高处作业、动火作业等特殊作业时需履行作业许可审批程序。</w:t>
      </w:r>
    </w:p>
    <w:p w14:paraId="32657789">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r>
        <w:rPr>
          <w:rFonts w:hint="eastAsia" w:ascii="仿宋" w:hAnsi="仿宋" w:eastAsia="仿宋" w:cs="仿宋"/>
          <w:sz w:val="24"/>
          <w:szCs w:val="24"/>
        </w:rPr>
        <w:t>重点部位安全管理</w:t>
      </w:r>
      <w:bookmarkEnd w:id="48"/>
    </w:p>
    <w:p w14:paraId="79A78275">
      <w:pPr>
        <w:pageBreakBefore w:val="0"/>
        <w:widowControl w:val="0"/>
        <w:kinsoku/>
        <w:wordWrap/>
        <w:overflowPunct w:val="0"/>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博物馆安全保卫工作规定》中第四章第七条规定“为了贯彻“预防为主，确保重点”的方针，博物馆应研究确定本馆的重要要害部位，切实加强安全防范工作。重点要害部位是指：文物存放部位，如库房、展厅、修复室等；容易发生火灾部位，如化验室、配电室等；机要部位，如人事档案室、控制室、文献资料室等。”第八条规定“确定重点要害部位由馆领导批准，并报上级文物行政管理部门和当地公安机关备案。重点要害部位确定后，有关主管部门要发动职工讨论制定安全保卫措施，加强对职工的审查。保卫组织协助实施，检查落实，建立要害部位档案。”《文物系统博物馆风险等级和安全防护级别的规定》（GA27-2002）中规定了一二三级风险部位。本章将重点部位、重要要害部位、风险部位统称为重点部位，并将重点部位分为陈列展览区、库房、重要机房、监控中心（安消防中控室）、发电机房、其他观众聚集区（售检票区域）。</w:t>
      </w:r>
    </w:p>
    <w:p w14:paraId="2A44AB7B">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调研发现，各博物馆和文博单位在实际管理中，基本按照了《博物馆安全保卫工作规定》《博物馆和文物保护单位安全防范系统要求》等相关行业规定，进行了重点部位防护，其中在物防和技防方面相对标准，人防方面因行业规定说明较少，配置存在一定差异。</w:t>
      </w:r>
    </w:p>
    <w:p w14:paraId="27735398">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因此，“7.</w:t>
      </w:r>
      <w:r>
        <w:rPr>
          <w:rFonts w:hint="eastAsia" w:ascii="仿宋" w:hAnsi="仿宋" w:eastAsia="仿宋" w:cs="仿宋"/>
          <w:sz w:val="24"/>
          <w:szCs w:val="24"/>
          <w:lang w:val="en-US" w:eastAsia="zh-CN"/>
        </w:rPr>
        <w:t>9</w:t>
      </w:r>
      <w:r>
        <w:rPr>
          <w:rFonts w:hint="eastAsia" w:ascii="仿宋" w:hAnsi="仿宋" w:eastAsia="仿宋" w:cs="仿宋"/>
          <w:sz w:val="24"/>
          <w:szCs w:val="24"/>
        </w:rPr>
        <w:t xml:space="preserve"> 重点部位安全管理”方面从巡查检查、值班值守、进出审批程序等方面提出了管理要求。其中，7.</w:t>
      </w:r>
      <w:r>
        <w:rPr>
          <w:rFonts w:hint="eastAsia" w:ascii="仿宋" w:hAnsi="仿宋" w:eastAsia="仿宋" w:cs="仿宋"/>
          <w:sz w:val="24"/>
          <w:szCs w:val="24"/>
          <w:lang w:val="en-US" w:eastAsia="zh-CN"/>
        </w:rPr>
        <w:t>9</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明确了博物馆重点部位；7.8.</w:t>
      </w:r>
      <w:r>
        <w:rPr>
          <w:rFonts w:hint="eastAsia" w:ascii="仿宋" w:hAnsi="仿宋" w:eastAsia="仿宋" w:cs="仿宋"/>
          <w:sz w:val="24"/>
          <w:szCs w:val="24"/>
          <w:lang w:val="en-US" w:eastAsia="zh-CN"/>
        </w:rPr>
        <w:t>2</w:t>
      </w:r>
      <w:r>
        <w:rPr>
          <w:rFonts w:hint="eastAsia" w:ascii="仿宋" w:hAnsi="仿宋" w:eastAsia="仿宋" w:cs="仿宋"/>
          <w:sz w:val="24"/>
          <w:szCs w:val="24"/>
        </w:rPr>
        <w:t>、7.8.</w:t>
      </w:r>
      <w:r>
        <w:rPr>
          <w:rFonts w:hint="eastAsia" w:ascii="仿宋" w:hAnsi="仿宋" w:eastAsia="仿宋" w:cs="仿宋"/>
          <w:sz w:val="24"/>
          <w:szCs w:val="24"/>
          <w:lang w:val="en-US" w:eastAsia="zh-CN"/>
        </w:rPr>
        <w:t>3</w:t>
      </w:r>
      <w:r>
        <w:rPr>
          <w:rFonts w:hint="eastAsia" w:ascii="仿宋" w:hAnsi="仿宋" w:eastAsia="仿宋" w:cs="仿宋"/>
          <w:sz w:val="24"/>
          <w:szCs w:val="24"/>
        </w:rPr>
        <w:t>、7.8.</w:t>
      </w:r>
      <w:r>
        <w:rPr>
          <w:rFonts w:hint="eastAsia" w:ascii="仿宋" w:hAnsi="仿宋" w:eastAsia="仿宋" w:cs="仿宋"/>
          <w:sz w:val="24"/>
          <w:szCs w:val="24"/>
          <w:lang w:val="en-US" w:eastAsia="zh-CN"/>
        </w:rPr>
        <w:t>4</w:t>
      </w:r>
      <w:r>
        <w:rPr>
          <w:rFonts w:hint="eastAsia" w:ascii="仿宋" w:hAnsi="仿宋" w:eastAsia="仿宋" w:cs="仿宋"/>
          <w:sz w:val="24"/>
          <w:szCs w:val="24"/>
        </w:rPr>
        <w:t>明确了管理方式和相关人员职责。</w:t>
      </w:r>
    </w:p>
    <w:p w14:paraId="72759B47">
      <w:pPr>
        <w:pStyle w:val="3"/>
        <w:pageBreakBefore w:val="0"/>
        <w:widowControl w:val="0"/>
        <w:numPr>
          <w:ilvl w:val="0"/>
          <w:numId w:val="6"/>
        </w:numPr>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bookmarkStart w:id="49" w:name="_Toc17625"/>
      <w:r>
        <w:rPr>
          <w:rFonts w:hint="eastAsia" w:ascii="仿宋" w:hAnsi="仿宋" w:eastAsia="仿宋" w:cs="仿宋"/>
          <w:sz w:val="24"/>
          <w:szCs w:val="24"/>
        </w:rPr>
        <w:t>临时性活动安全监管</w:t>
      </w:r>
      <w:bookmarkEnd w:id="49"/>
    </w:p>
    <w:p w14:paraId="24D2F4F2">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文物建筑消防安全管理十规定》“在文物建筑保护范围内举办祭祀、庙会、游园、展览等大型活动，主办单位应进行防火检查，增设必要的消防设施、设备和灭火器材，同时制定灭火和应急疏散预案并预先组织演练。要按规定事先将活动情况和消防措施报当地公安部门审核同意后，方可举办活动。”</w:t>
      </w:r>
    </w:p>
    <w:p w14:paraId="4C0BAF05">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rPr>
        <w:t>调研发现，临时性活动管理与博物馆规模、属地政府、公安机关要求以及活动形式、组织方式等密切关联，因此，考虑到本标准的适用性，仅根据</w:t>
      </w:r>
      <w:r>
        <w:rPr>
          <w:rFonts w:hint="eastAsia" w:ascii="仿宋" w:hAnsi="仿宋" w:eastAsia="仿宋" w:cs="仿宋"/>
          <w:sz w:val="24"/>
          <w:szCs w:val="24"/>
          <w:lang w:eastAsia="zh-CN"/>
        </w:rPr>
        <w:t>国家标准</w:t>
      </w:r>
      <w:r>
        <w:rPr>
          <w:rFonts w:hint="eastAsia" w:ascii="仿宋" w:hAnsi="仿宋" w:eastAsia="仿宋" w:cs="仿宋"/>
          <w:sz w:val="24"/>
          <w:szCs w:val="24"/>
        </w:rPr>
        <w:t>对其提出原则性要求，包括“7.10.1、7.10.2、7.10.3、7.10.</w:t>
      </w:r>
      <w:r>
        <w:rPr>
          <w:rFonts w:hint="eastAsia" w:ascii="仿宋" w:hAnsi="仿宋" w:eastAsia="仿宋" w:cs="仿宋"/>
          <w:sz w:val="24"/>
          <w:szCs w:val="24"/>
          <w:lang w:val="en-US" w:eastAsia="zh-CN"/>
        </w:rPr>
        <w:t>4</w:t>
      </w:r>
      <w:r>
        <w:rPr>
          <w:rFonts w:hint="eastAsia" w:ascii="仿宋" w:hAnsi="仿宋" w:eastAsia="仿宋" w:cs="仿宋"/>
          <w:sz w:val="24"/>
          <w:szCs w:val="24"/>
        </w:rPr>
        <w:t>、7.10.</w:t>
      </w:r>
      <w:r>
        <w:rPr>
          <w:rFonts w:hint="eastAsia" w:ascii="仿宋" w:hAnsi="仿宋" w:eastAsia="仿宋" w:cs="仿宋"/>
          <w:sz w:val="24"/>
          <w:szCs w:val="24"/>
          <w:lang w:val="en-US" w:eastAsia="zh-CN"/>
        </w:rPr>
        <w:t>5</w:t>
      </w:r>
      <w:r>
        <w:rPr>
          <w:rFonts w:hint="eastAsia" w:ascii="仿宋" w:hAnsi="仿宋" w:eastAsia="仿宋" w:cs="仿宋"/>
          <w:sz w:val="24"/>
          <w:szCs w:val="24"/>
        </w:rPr>
        <w:t>、7.10.</w:t>
      </w:r>
      <w:r>
        <w:rPr>
          <w:rFonts w:hint="eastAsia" w:ascii="仿宋" w:hAnsi="仿宋" w:eastAsia="仿宋" w:cs="仿宋"/>
          <w:sz w:val="24"/>
          <w:szCs w:val="24"/>
          <w:lang w:val="en-US" w:eastAsia="zh-CN"/>
        </w:rPr>
        <w:t>6</w:t>
      </w:r>
      <w:r>
        <w:rPr>
          <w:rFonts w:hint="eastAsia" w:ascii="仿宋" w:hAnsi="仿宋" w:eastAsia="仿宋" w:cs="仿宋"/>
          <w:sz w:val="24"/>
          <w:szCs w:val="24"/>
        </w:rPr>
        <w:t>博物馆主体责任应履行的相关职责，特别是博物馆作为活动承办方的相关要求”</w:t>
      </w:r>
      <w:r>
        <w:rPr>
          <w:rFonts w:hint="eastAsia" w:ascii="仿宋" w:hAnsi="仿宋" w:eastAsia="仿宋" w:cs="仿宋"/>
          <w:sz w:val="24"/>
          <w:szCs w:val="24"/>
          <w:shd w:val="clear" w:color="auto" w:fill="FFFFFF"/>
        </w:rPr>
        <w:t>。</w:t>
      </w:r>
    </w:p>
    <w:p w14:paraId="776976A9">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应急</w:t>
      </w:r>
      <w:r>
        <w:rPr>
          <w:rFonts w:hint="eastAsia" w:ascii="仿宋" w:hAnsi="仿宋" w:eastAsia="仿宋" w:cs="仿宋"/>
          <w:sz w:val="24"/>
          <w:szCs w:val="24"/>
        </w:rPr>
        <w:t>管理（第</w:t>
      </w:r>
      <w:r>
        <w:rPr>
          <w:rFonts w:hint="eastAsia" w:ascii="仿宋" w:hAnsi="仿宋" w:eastAsia="仿宋" w:cs="仿宋"/>
          <w:sz w:val="24"/>
          <w:szCs w:val="24"/>
          <w:lang w:val="en-US" w:eastAsia="zh-CN"/>
        </w:rPr>
        <w:t>8</w:t>
      </w:r>
      <w:r>
        <w:rPr>
          <w:rFonts w:hint="eastAsia" w:ascii="仿宋" w:hAnsi="仿宋" w:eastAsia="仿宋" w:cs="仿宋"/>
          <w:sz w:val="24"/>
          <w:szCs w:val="24"/>
        </w:rPr>
        <w:t>章）</w:t>
      </w:r>
    </w:p>
    <w:p w14:paraId="2E02EC11">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eastAsia="zh-CN"/>
        </w:rPr>
        <w:t>《博物馆公共安全应急管理规范》（</w:t>
      </w:r>
      <w:r>
        <w:rPr>
          <w:rFonts w:hint="eastAsia" w:ascii="仿宋" w:hAnsi="仿宋" w:eastAsia="仿宋" w:cs="仿宋"/>
          <w:sz w:val="24"/>
          <w:szCs w:val="24"/>
          <w:shd w:val="clear" w:color="auto" w:fill="FFFFFF"/>
          <w:lang w:val="en-US" w:eastAsia="zh-CN"/>
        </w:rPr>
        <w:t>WW/T 011</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中确立了博物馆公共安全应急管理的通则和主要阶段，规定了博物馆公共安全应急管理的组织机构与职责、预防与应急准备、监测与预警、应急处置与救援、善后恢复与调查总结改进、综合保障的要求，描述了追溯方法。</w:t>
      </w:r>
    </w:p>
    <w:p w14:paraId="64988131">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第</w:t>
      </w:r>
      <w:r>
        <w:rPr>
          <w:rFonts w:hint="eastAsia" w:ascii="仿宋" w:hAnsi="仿宋" w:eastAsia="仿宋" w:cs="仿宋"/>
          <w:sz w:val="24"/>
          <w:szCs w:val="24"/>
          <w:shd w:val="clear" w:color="auto" w:fill="FFFFFF"/>
          <w:lang w:val="en-US" w:eastAsia="zh-CN"/>
        </w:rPr>
        <w:t>8</w:t>
      </w:r>
      <w:r>
        <w:rPr>
          <w:rFonts w:hint="eastAsia" w:ascii="仿宋" w:hAnsi="仿宋" w:eastAsia="仿宋" w:cs="仿宋"/>
          <w:sz w:val="24"/>
          <w:szCs w:val="24"/>
          <w:shd w:val="clear" w:color="auto" w:fill="FFFFFF"/>
        </w:rPr>
        <w:t>章</w:t>
      </w:r>
      <w:r>
        <w:rPr>
          <w:rFonts w:hint="eastAsia" w:ascii="仿宋" w:hAnsi="仿宋" w:eastAsia="仿宋" w:cs="仿宋"/>
          <w:sz w:val="24"/>
          <w:szCs w:val="24"/>
          <w:shd w:val="clear" w:color="auto" w:fill="FFFFFF"/>
          <w:lang w:val="en-US" w:eastAsia="zh-CN"/>
        </w:rPr>
        <w:t>应急</w:t>
      </w:r>
      <w:r>
        <w:rPr>
          <w:rFonts w:hint="eastAsia" w:ascii="仿宋" w:hAnsi="仿宋" w:eastAsia="仿宋" w:cs="仿宋"/>
          <w:sz w:val="24"/>
          <w:szCs w:val="24"/>
          <w:shd w:val="clear" w:color="auto" w:fill="FFFFFF"/>
        </w:rPr>
        <w:t>管理，</w:t>
      </w:r>
      <w:r>
        <w:rPr>
          <w:rFonts w:hint="eastAsia" w:ascii="仿宋" w:hAnsi="仿宋" w:eastAsia="仿宋" w:cs="仿宋"/>
          <w:sz w:val="24"/>
          <w:szCs w:val="24"/>
          <w:shd w:val="clear" w:color="auto" w:fill="FFFFFF"/>
          <w:lang w:val="en-US" w:eastAsia="zh-CN"/>
        </w:rPr>
        <w:t>主要是参照</w:t>
      </w:r>
      <w:r>
        <w:rPr>
          <w:rFonts w:hint="eastAsia" w:ascii="仿宋" w:hAnsi="仿宋" w:eastAsia="仿宋" w:cs="仿宋"/>
          <w:sz w:val="24"/>
          <w:szCs w:val="24"/>
          <w:shd w:val="clear" w:color="auto" w:fill="FFFFFF"/>
        </w:rPr>
        <w:t>按照WW/T 0111的要求，</w:t>
      </w:r>
      <w:r>
        <w:rPr>
          <w:rFonts w:hint="eastAsia" w:ascii="仿宋" w:hAnsi="仿宋" w:eastAsia="仿宋" w:cs="仿宋"/>
          <w:sz w:val="24"/>
          <w:szCs w:val="24"/>
          <w:shd w:val="clear" w:color="auto" w:fill="FFFFFF"/>
          <w:lang w:val="en-US" w:eastAsia="zh-CN"/>
        </w:rPr>
        <w:t>明确了博物馆应急管理工作的领导机构、预防准备、应急处置、恢复评估要求。</w:t>
      </w:r>
    </w:p>
    <w:p w14:paraId="13FCF132">
      <w:pPr>
        <w:pStyle w:val="2"/>
        <w:pageBreakBefore w:val="0"/>
        <w:widowControl w:val="0"/>
        <w:numPr>
          <w:ilvl w:val="0"/>
          <w:numId w:val="4"/>
        </w:numPr>
        <w:tabs>
          <w:tab w:val="left" w:pos="840"/>
          <w:tab w:val="left" w:pos="1050"/>
        </w:tabs>
        <w:kinsoku/>
        <w:wordWrap/>
        <w:topLinePunct w:val="0"/>
        <w:autoSpaceDE/>
        <w:autoSpaceDN/>
        <w:bidi w:val="0"/>
        <w:adjustRightInd/>
        <w:spacing w:before="0" w:after="0" w:line="400" w:lineRule="exact"/>
        <w:ind w:left="0" w:firstLine="64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记录和改进</w:t>
      </w:r>
      <w:r>
        <w:rPr>
          <w:rFonts w:hint="eastAsia" w:ascii="仿宋" w:hAnsi="仿宋" w:eastAsia="仿宋" w:cs="仿宋"/>
          <w:sz w:val="24"/>
          <w:szCs w:val="24"/>
        </w:rPr>
        <w:t>（第</w:t>
      </w:r>
      <w:r>
        <w:rPr>
          <w:rFonts w:hint="eastAsia" w:ascii="仿宋" w:hAnsi="仿宋" w:eastAsia="仿宋" w:cs="仿宋"/>
          <w:sz w:val="24"/>
          <w:szCs w:val="24"/>
          <w:lang w:val="en-US" w:eastAsia="zh-CN"/>
        </w:rPr>
        <w:t>9</w:t>
      </w:r>
      <w:r>
        <w:rPr>
          <w:rFonts w:hint="eastAsia" w:ascii="仿宋" w:hAnsi="仿宋" w:eastAsia="仿宋" w:cs="仿宋"/>
          <w:sz w:val="24"/>
          <w:szCs w:val="24"/>
        </w:rPr>
        <w:t>章）</w:t>
      </w:r>
    </w:p>
    <w:p w14:paraId="6067EFE7">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default" w:ascii="仿宋" w:hAnsi="仿宋" w:eastAsia="宋体"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shd w:val="clear" w:color="auto" w:fill="FFFFFF"/>
          <w:lang w:eastAsia="zh-CN"/>
        </w:rPr>
        <w:t>《博物馆公共安全应急管理规范》（</w:t>
      </w:r>
      <w:r>
        <w:rPr>
          <w:rFonts w:hint="eastAsia" w:ascii="仿宋" w:hAnsi="仿宋" w:eastAsia="仿宋" w:cs="仿宋"/>
          <w:sz w:val="24"/>
          <w:szCs w:val="24"/>
          <w:shd w:val="clear" w:color="auto" w:fill="FFFFFF"/>
          <w:lang w:val="en-US" w:eastAsia="zh-CN"/>
        </w:rPr>
        <w:t>WW/T 011</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中12.3明确</w:t>
      </w:r>
      <w:r>
        <w:rPr>
          <w:rFonts w:hint="eastAsia" w:ascii="仿宋" w:hAnsi="仿宋" w:eastAsia="仿宋" w:cs="仿宋"/>
          <w:sz w:val="24"/>
          <w:szCs w:val="24"/>
          <w:lang w:val="en-US" w:eastAsia="zh-CN"/>
        </w:rPr>
        <w:t>“博物馆应建立公共安全应急档案管理制度，应急管理文字、图片、录音、录像等记录文件应至少保存3年。”</w:t>
      </w:r>
    </w:p>
    <w:p w14:paraId="1E3D39C5">
      <w:pPr>
        <w:pStyle w:val="24"/>
        <w:pageBreakBefore w:val="0"/>
        <w:widowControl w:val="0"/>
        <w:kinsoku/>
        <w:wordWrap/>
        <w:topLinePunct w:val="0"/>
        <w:autoSpaceDE/>
        <w:autoSpaceDN/>
        <w:bidi w:val="0"/>
        <w:adjustRightInd/>
        <w:spacing w:line="400" w:lineRule="exact"/>
        <w:ind w:left="0" w:leftChars="0" w:firstLine="480" w:firstLineChars="20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rPr>
        <w:t>第</w:t>
      </w:r>
      <w:r>
        <w:rPr>
          <w:rFonts w:hint="eastAsia" w:ascii="仿宋" w:hAnsi="仿宋" w:eastAsia="仿宋" w:cs="仿宋"/>
          <w:sz w:val="24"/>
          <w:szCs w:val="24"/>
          <w:shd w:val="clear" w:color="auto" w:fill="FFFFFF"/>
          <w:lang w:val="en-US" w:eastAsia="zh-CN"/>
        </w:rPr>
        <w:t>9</w:t>
      </w:r>
      <w:r>
        <w:rPr>
          <w:rFonts w:hint="eastAsia" w:ascii="仿宋" w:hAnsi="仿宋" w:eastAsia="仿宋" w:cs="仿宋"/>
          <w:sz w:val="24"/>
          <w:szCs w:val="24"/>
          <w:shd w:val="clear" w:color="auto" w:fill="FFFFFF"/>
        </w:rPr>
        <w:t>章</w:t>
      </w:r>
      <w:r>
        <w:rPr>
          <w:rFonts w:hint="eastAsia" w:ascii="仿宋" w:hAnsi="仿宋" w:eastAsia="仿宋" w:cs="仿宋"/>
          <w:sz w:val="24"/>
          <w:szCs w:val="24"/>
          <w:shd w:val="clear" w:color="auto" w:fill="FFFFFF"/>
          <w:lang w:val="en-US" w:eastAsia="zh-CN"/>
        </w:rPr>
        <w:t>记录和改进</w:t>
      </w:r>
      <w:r>
        <w:rPr>
          <w:rFonts w:hint="eastAsia" w:ascii="仿宋" w:hAnsi="仿宋" w:eastAsia="仿宋" w:cs="仿宋"/>
          <w:sz w:val="24"/>
          <w:szCs w:val="24"/>
          <w:shd w:val="clear" w:color="auto" w:fill="FFFFFF"/>
        </w:rPr>
        <w:t>，明确了</w:t>
      </w:r>
      <w:r>
        <w:rPr>
          <w:rFonts w:hint="eastAsia" w:ascii="仿宋" w:hAnsi="仿宋" w:eastAsia="仿宋" w:cs="仿宋"/>
          <w:sz w:val="24"/>
          <w:szCs w:val="24"/>
          <w:shd w:val="clear" w:color="auto" w:fill="FFFFFF"/>
          <w:lang w:val="en-US" w:eastAsia="zh-CN"/>
        </w:rPr>
        <w:t>记录的主要内容和时限要求，确保可追溯、可验证。</w:t>
      </w:r>
    </w:p>
    <w:p w14:paraId="77463B1D">
      <w:pPr>
        <w:widowControl/>
        <w:spacing w:before="120" w:beforeLines="50" w:after="120" w:afterLines="50" w:line="400" w:lineRule="exact"/>
        <w:ind w:firstLine="482" w:firstLineChars="200"/>
        <w:outlineLvl w:val="9"/>
        <w:rPr>
          <w:rFonts w:ascii="Times New Roman" w:hAnsi="Times New Roman"/>
          <w:b/>
          <w:bCs/>
          <w:color w:val="000000"/>
          <w:sz w:val="24"/>
          <w:szCs w:val="24"/>
          <w:lang w:bidi="ar"/>
        </w:rPr>
      </w:pPr>
      <w:r>
        <w:rPr>
          <w:rFonts w:ascii="Times New Roman" w:hAnsi="Times New Roman"/>
          <w:b/>
          <w:bCs/>
          <w:color w:val="000000"/>
          <w:sz w:val="24"/>
          <w:szCs w:val="24"/>
          <w:lang w:bidi="ar"/>
        </w:rPr>
        <w:t>三、</w:t>
      </w:r>
      <w:r>
        <w:rPr>
          <w:rFonts w:hint="default" w:ascii="Times New Roman" w:hAnsi="Times New Roman"/>
          <w:b/>
          <w:bCs/>
          <w:color w:val="000000"/>
          <w:sz w:val="24"/>
          <w:szCs w:val="24"/>
          <w:lang w:bidi="ar"/>
        </w:rPr>
        <w:t>试验验证的分析、综述报告，技术经济论证，预期的经济效益、社会效益和生态效益</w:t>
      </w:r>
    </w:p>
    <w:p w14:paraId="16FDE3C5">
      <w:pPr>
        <w:widowControl/>
        <w:spacing w:before="120" w:beforeLines="50" w:after="120" w:afterLines="50" w:line="400" w:lineRule="exact"/>
        <w:ind w:firstLine="482" w:firstLineChars="200"/>
        <w:rPr>
          <w:rFonts w:ascii="Times New Roman" w:hAnsi="Times New Roman" w:cs="Times New Roman"/>
          <w:b/>
          <w:bCs/>
          <w:color w:val="000000"/>
          <w:sz w:val="24"/>
          <w:szCs w:val="24"/>
        </w:rPr>
      </w:pPr>
      <w:r>
        <w:rPr>
          <w:rFonts w:ascii="Times New Roman" w:hAnsi="Times New Roman" w:cs="Times New Roman"/>
          <w:b/>
          <w:bCs/>
          <w:color w:val="000000"/>
          <w:sz w:val="24"/>
          <w:szCs w:val="24"/>
        </w:rPr>
        <w:t>（一）试验验证的分析、综述报告，技术经济论证方面</w:t>
      </w:r>
    </w:p>
    <w:p w14:paraId="5C56C1BE">
      <w:pPr>
        <w:pageBreakBefore w:val="0"/>
        <w:widowControl w:val="0"/>
        <w:kinsoku/>
        <w:wordWrap/>
        <w:topLinePunct w:val="0"/>
        <w:autoSpaceDE/>
        <w:autoSpaceDN/>
        <w:bidi w:val="0"/>
        <w:adjustRightIn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本文件为管理类</w:t>
      </w:r>
      <w:r>
        <w:rPr>
          <w:rFonts w:hint="eastAsia" w:ascii="仿宋" w:hAnsi="仿宋" w:eastAsia="仿宋" w:cs="仿宋"/>
          <w:sz w:val="24"/>
          <w:szCs w:val="24"/>
          <w:lang w:val="en-US" w:eastAsia="zh-CN"/>
        </w:rPr>
        <w:t>规范</w:t>
      </w:r>
      <w:r>
        <w:rPr>
          <w:rFonts w:hint="eastAsia" w:ascii="仿宋" w:hAnsi="仿宋" w:eastAsia="仿宋" w:cs="仿宋"/>
          <w:sz w:val="24"/>
          <w:szCs w:val="24"/>
        </w:rPr>
        <w:t>，</w:t>
      </w:r>
      <w:r>
        <w:rPr>
          <w:rFonts w:hint="eastAsia" w:ascii="仿宋" w:hAnsi="仿宋" w:eastAsia="仿宋" w:cs="仿宋"/>
          <w:sz w:val="24"/>
          <w:szCs w:val="24"/>
          <w:lang w:val="en-US" w:eastAsia="zh-CN"/>
        </w:rPr>
        <w:t>在标准编制过程中开展了大量的调研和人员访谈，调研单位覆盖北京、福建、陕西三个省市共 31 家博物馆单位，覆盖文物系统博物馆、行业博物馆、企业办博物馆、个人办博物馆等不同性质，一级、二级、三级、未定级等不同级别，同时，对国家文物局、陕西省文物局、西安市文物局的督察与安全部门进行座谈沟通。通过前期调研和研讨，充分了解当前博物馆安全保卫现状和困境，综合考虑不同级别、不同规模博物馆的差异，吸收故宫博物院、敦煌研究院、国家博物馆、汽车博物馆等单位的成熟经验和做法，确保标准内容的适应性和可操作性。</w:t>
      </w:r>
    </w:p>
    <w:p w14:paraId="5E6C0686">
      <w:pPr>
        <w:widowControl/>
        <w:numPr>
          <w:ilvl w:val="0"/>
          <w:numId w:val="7"/>
        </w:numPr>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预期的经济效益、社会效益和生态效益方面</w:t>
      </w:r>
    </w:p>
    <w:p w14:paraId="643459D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sz w:val="24"/>
          <w:szCs w:val="24"/>
          <w:lang w:val="en-US"/>
        </w:rPr>
      </w:pPr>
      <w:r>
        <w:rPr>
          <w:rFonts w:hint="eastAsia" w:ascii="仿宋" w:hAnsi="仿宋" w:eastAsia="仿宋" w:cs="仿宋"/>
          <w:sz w:val="24"/>
          <w:szCs w:val="24"/>
          <w:lang w:val="en-US" w:eastAsia="zh-CN"/>
        </w:rPr>
        <w:t>本标准的制定和颁布实施将</w:t>
      </w:r>
      <w:r>
        <w:rPr>
          <w:rFonts w:hint="eastAsia" w:ascii="仿宋" w:hAnsi="仿宋" w:eastAsia="仿宋" w:cs="仿宋"/>
          <w:sz w:val="24"/>
          <w:szCs w:val="24"/>
          <w:shd w:val="clear" w:color="auto" w:fill="FFFFFF"/>
          <w:lang w:val="en-US" w:eastAsia="zh-CN"/>
        </w:rPr>
        <w:t>为博物馆安全保卫工作开展提供依据和支撑，为提高博物馆的安全保卫能力奠定基础，为博物馆的安全运行和文物保护提供保障。</w:t>
      </w:r>
    </w:p>
    <w:p w14:paraId="075379C2">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四、与国际、国外同类标准技术内容的对比情况，或者与测试的国外样品、样机的有关数据对比情况</w:t>
      </w:r>
    </w:p>
    <w:p w14:paraId="2872B1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本文件并未采用国际标准和国外先进标准。</w:t>
      </w:r>
    </w:p>
    <w:p w14:paraId="531F23F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项目组在ISO官网针对现行标准进行了检索，结果如下：</w:t>
      </w:r>
    </w:p>
    <w:p w14:paraId="6CB36DA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museum”为关键词，可以得到13项标准，内容大致涵盖国际博物馆统计数据、博物馆信息和文献、成像材料、应急准备与响应、权限信息的描述和呈现、音频指南、信息化统计和质量事件、图书馆和相关组织的国际标准标识符、新冠防疫、设计和使用指示标志、地图设计原则及要求、公众信息引导系统的安装与评估、游客参观工业自然文化和历史遗址的要求及建议，均与本标准无直接相关性。</w:t>
      </w:r>
    </w:p>
    <w:p w14:paraId="3A8399D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以“management specification”为关键词，可以得到2项标准，内容大致为项目管理、可扩展存储管理等内容，均与本标准无直接相关性。</w:t>
      </w:r>
    </w:p>
    <w:p w14:paraId="65B1505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以“museum security”为关键词，无法搜索得到任何已出版标准。</w:t>
      </w:r>
    </w:p>
    <w:p w14:paraId="5E63791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用本标准完整英文名称作为关键词进行检索，无法得到任何已出版标准。</w:t>
      </w:r>
    </w:p>
    <w:p w14:paraId="2929214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再以其他关键词进行检索，要么无法获得任何结果，要么与上述检索结果没有显著差异。</w:t>
      </w:r>
    </w:p>
    <w:p w14:paraId="29EE63E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本标准为管理类规范，不涉及产品样品和样机，因此也无需与国外相关数据进行对比。</w:t>
      </w:r>
    </w:p>
    <w:p w14:paraId="063AFC58">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五、以国际标准为基础的起草情况，以及是否合规引用或者采用国际国外标准，并说明未采用国际标准的原因</w:t>
      </w:r>
    </w:p>
    <w:p w14:paraId="6E514BE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本标准无同类国际标准，因此未引用或采用国际标准。</w:t>
      </w:r>
    </w:p>
    <w:p w14:paraId="3A3BE219">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六、与有关法律、行政法规及相关标准的关系</w:t>
      </w:r>
    </w:p>
    <w:p w14:paraId="76231B32">
      <w:pPr>
        <w:widowControl/>
        <w:spacing w:before="120" w:beforeLines="50" w:after="120" w:afterLines="50" w:line="400" w:lineRule="exact"/>
        <w:ind w:firstLine="482" w:firstLineChars="200"/>
        <w:rPr>
          <w:rFonts w:hint="eastAsia"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lang w:val="en-US" w:eastAsia="zh-CN"/>
        </w:rPr>
        <w:t>（一）与法律法规的相关性</w:t>
      </w:r>
    </w:p>
    <w:p w14:paraId="3BD7435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1、《中华人民共和国文物保护法》。该法是文物保护行业的最基准法律，作为贯彻文物安全的最基础要求，是本标准贯彻博物馆安全保卫准则的底线。</w:t>
      </w:r>
    </w:p>
    <w:p w14:paraId="4C3EB23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博物馆条例》。该条例对博物馆设立、变更与终止，博物馆管理，博物馆社会服务、法律责任等要求进行了明确。其中，第十条和第十四条明确要求了博物馆设立时应该具备“确保观众人身安全的设施、制度及应急预案”，在运行时应该“加强对藏品的安全管理”，本标准对其进行了进一步的明确和细化。</w:t>
      </w:r>
    </w:p>
    <w:p w14:paraId="1C48243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3、《企业事业单位内部治安保卫条例》。该条例规范企业、事业单位内部治安保卫工作，明确了企事业单位内部治安保卫的职责、范围、要求等内容。本标准第6章涵盖了相关治安保卫要求。</w:t>
      </w:r>
    </w:p>
    <w:p w14:paraId="16A19D2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4、《博物馆安全保卫工作规定》。该规定发布于1985年，是我国博物馆安全保卫方面较早的规定，本标准对其中的要求进行了进一步的明确和细化。</w:t>
      </w:r>
    </w:p>
    <w:p w14:paraId="5116DF3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5、《博物馆定级评估办法》。该办法将博物馆分为一级、二级和三级，本标准明确不同级别的博物馆专兼职的安全保卫人员不同。</w:t>
      </w:r>
    </w:p>
    <w:p w14:paraId="757D6EE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6、《国家文物局突发事件应急工作管理办法》（文物办发200387号）。该办法明确了文物保护工作过程中的突发事件预防、准备、响应、调查要求，本标准对博物馆安全保卫应急与该办法保持协调一致。</w:t>
      </w:r>
    </w:p>
    <w:p w14:paraId="6815A4A2">
      <w:pPr>
        <w:widowControl/>
        <w:spacing w:before="120" w:beforeLines="50" w:after="120" w:afterLines="50" w:line="400" w:lineRule="exact"/>
        <w:ind w:firstLine="482" w:firstLineChars="200"/>
        <w:rPr>
          <w:rFonts w:hint="eastAsia" w:ascii="Times New Roman" w:hAnsi="Times New Roman" w:eastAsia="宋体" w:cs="Times New Roman"/>
          <w:b/>
          <w:bCs/>
          <w:color w:val="000000"/>
          <w:sz w:val="24"/>
          <w:szCs w:val="24"/>
          <w:lang w:val="en-US" w:eastAsia="zh-CN"/>
        </w:rPr>
      </w:pPr>
      <w:bookmarkStart w:id="50" w:name="_Hlk205732507"/>
      <w:r>
        <w:rPr>
          <w:rFonts w:hint="eastAsia" w:ascii="Times New Roman" w:hAnsi="Times New Roman" w:eastAsia="宋体" w:cs="Times New Roman"/>
          <w:b/>
          <w:bCs/>
          <w:color w:val="000000"/>
          <w:sz w:val="24"/>
          <w:szCs w:val="24"/>
          <w:lang w:val="en-US" w:eastAsia="zh-CN"/>
        </w:rPr>
        <w:t>（二）与现有标准的关系</w:t>
      </w:r>
    </w:p>
    <w:bookmarkEnd w:id="50"/>
    <w:p w14:paraId="2159C49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1、《安全防范工程技术标准》（GB 50348-2018）。该标准在于安全防范，侧重防范外部威胁。本标准借鉴并使用了其中技防系统的术语定义、维护保养等要求。</w:t>
      </w:r>
    </w:p>
    <w:p w14:paraId="0BD7208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文物系统博物馆风险等级和安全防护级别的规定》（GA27-2002）。该标准按照藏品数量和等级将博物馆风险部位划分为一级、二级及三级。本标准参考该分级标准，明确不同区域对安全保卫的工作内容、规范和要求进行界定。</w:t>
      </w:r>
    </w:p>
    <w:p w14:paraId="5708C9A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3、《博物馆建筑设计规范》（JGJ66-2015）。该标准主要是对新建、扩建和改建的博物馆建筑设计要求进行明确，属于“物防”范畴。</w:t>
      </w:r>
    </w:p>
    <w:p w14:paraId="072D760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4、《博物馆和文物保护单位安全防范系统要求》（GB/T16571-2012）。该标准主要是对博物馆和文保单位的安防系统设计、施工、检验和验收要求进行界定，以技防设计和建设要求为主。</w:t>
      </w:r>
    </w:p>
    <w:p w14:paraId="7616646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w:t>
      </w:r>
      <w:bookmarkStart w:id="51" w:name="_Hlk205732554"/>
      <w:r>
        <w:rPr>
          <w:rFonts w:hint="eastAsia" w:ascii="仿宋" w:hAnsi="仿宋" w:eastAsia="仿宋" w:cs="仿宋"/>
          <w:sz w:val="24"/>
          <w:szCs w:val="24"/>
          <w:shd w:val="clear" w:color="auto" w:fill="FFFFFF"/>
        </w:rPr>
        <w:t>《博物馆公共安全应急管理规范》（WW</w:t>
      </w:r>
      <w:r>
        <w:rPr>
          <w:rFonts w:hint="eastAsia" w:ascii="仿宋" w:hAnsi="仿宋" w:eastAsia="仿宋" w:cs="仿宋"/>
          <w:sz w:val="24"/>
          <w:szCs w:val="24"/>
          <w:shd w:val="clear" w:color="auto" w:fill="FFFFFF"/>
          <w:lang w:val="en-US" w:eastAsia="zh-CN"/>
        </w:rPr>
        <w:t>/</w:t>
      </w:r>
      <w:r>
        <w:rPr>
          <w:rFonts w:hint="eastAsia" w:ascii="仿宋" w:hAnsi="仿宋" w:eastAsia="仿宋" w:cs="仿宋"/>
          <w:sz w:val="24"/>
          <w:szCs w:val="24"/>
          <w:shd w:val="clear" w:color="auto" w:fill="FFFFFF"/>
        </w:rPr>
        <w:t>T0111</w:t>
      </w:r>
      <w:r>
        <w:rPr>
          <w:rFonts w:hint="eastAsia" w:ascii="仿宋" w:hAnsi="仿宋" w:eastAsia="仿宋" w:cs="仿宋"/>
          <w:sz w:val="24"/>
          <w:szCs w:val="24"/>
          <w:shd w:val="clear" w:color="auto" w:fill="FFFFFF"/>
          <w:lang w:val="en-US" w:eastAsia="zh-CN"/>
        </w:rPr>
        <w:t>-</w:t>
      </w:r>
      <w:r>
        <w:rPr>
          <w:rFonts w:hint="eastAsia" w:ascii="仿宋" w:hAnsi="仿宋" w:eastAsia="仿宋" w:cs="仿宋"/>
          <w:sz w:val="24"/>
          <w:szCs w:val="24"/>
          <w:shd w:val="clear" w:color="auto" w:fill="FFFFFF"/>
        </w:rPr>
        <w:t>2023）</w:t>
      </w:r>
      <w:bookmarkEnd w:id="51"/>
      <w:r>
        <w:rPr>
          <w:rFonts w:hint="eastAsia" w:ascii="仿宋" w:hAnsi="仿宋" w:eastAsia="仿宋" w:cs="仿宋"/>
          <w:sz w:val="24"/>
          <w:szCs w:val="24"/>
          <w:shd w:val="clear" w:color="auto" w:fill="FFFFFF"/>
        </w:rPr>
        <w:t>。该标准主要规范博物馆公共安全应急管理的总体原则与要求、组织机构与职责、应急管理基本流程，属于“应急管理”环节的总体性规范。</w:t>
      </w:r>
    </w:p>
    <w:p w14:paraId="5417A108">
      <w:pPr>
        <w:jc w:val="center"/>
        <w:rPr>
          <w:rFonts w:ascii="Times New Roman" w:hAnsi="Times New Roman" w:eastAsia="仿宋"/>
          <w:shd w:val="clear" w:color="auto" w:fill="FFFFFF"/>
        </w:rPr>
      </w:pPr>
      <w:r>
        <w:drawing>
          <wp:inline distT="0" distB="0" distL="114300" distR="114300">
            <wp:extent cx="5122545" cy="291846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rcRect t="1097"/>
                    <a:stretch>
                      <a:fillRect/>
                    </a:stretch>
                  </pic:blipFill>
                  <pic:spPr>
                    <a:xfrm>
                      <a:off x="0" y="0"/>
                      <a:ext cx="5122545" cy="2918460"/>
                    </a:xfrm>
                    <a:prstGeom prst="rect">
                      <a:avLst/>
                    </a:prstGeom>
                    <a:noFill/>
                    <a:ln>
                      <a:noFill/>
                    </a:ln>
                  </pic:spPr>
                </pic:pic>
              </a:graphicData>
            </a:graphic>
          </wp:inline>
        </w:drawing>
      </w:r>
    </w:p>
    <w:p w14:paraId="29899E6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除了以上标准外，还有下列标准相关的内容在本文件的具体条文中已经给出了具体的参考要求，并无任何交叉及冲突，此处不再赘述。</w:t>
      </w:r>
    </w:p>
    <w:p w14:paraId="1F8F925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w:t>
      </w:r>
      <w:r>
        <w:rPr>
          <w:rFonts w:hint="eastAsia" w:ascii="仿宋" w:hAnsi="仿宋" w:eastAsia="仿宋" w:cs="仿宋"/>
          <w:sz w:val="24"/>
          <w:szCs w:val="24"/>
          <w:shd w:val="clear" w:color="auto" w:fill="FFFFFF"/>
          <w:lang w:val="en-US" w:eastAsia="zh-CN"/>
        </w:rPr>
        <w:t xml:space="preserve"> </w:t>
      </w:r>
      <w:r>
        <w:rPr>
          <w:rFonts w:hint="eastAsia" w:ascii="仿宋" w:hAnsi="仿宋" w:eastAsia="仿宋" w:cs="仿宋"/>
          <w:sz w:val="24"/>
          <w:szCs w:val="24"/>
          <w:shd w:val="clear" w:color="auto" w:fill="FFFFFF"/>
        </w:rPr>
        <w:t>55029    安全防范工程通用规范</w:t>
      </w:r>
    </w:p>
    <w:p w14:paraId="61EEE0A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 16571  博物馆和文物保护单位安全防范系统要求</w:t>
      </w:r>
    </w:p>
    <w:p w14:paraId="242D9C4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 24353  风险管理 指南</w:t>
      </w:r>
    </w:p>
    <w:p w14:paraId="04D1CE7A">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 27921  风险管理 风险评估技术</w:t>
      </w:r>
    </w:p>
    <w:p w14:paraId="7FEAE10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 36721  博物馆开放服务规范</w:t>
      </w:r>
    </w:p>
    <w:p w14:paraId="70C6D68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 33170.1 大型活动安全要求 第1部分：安全评估</w:t>
      </w:r>
    </w:p>
    <w:p w14:paraId="1720D9E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 33170.4 大型活动安全要求 第4部分：临建设施指南</w:t>
      </w:r>
    </w:p>
    <w:p w14:paraId="62552DB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GB/T33170.5 大型活动安全要求 第5部分：安保资源配置</w:t>
      </w:r>
    </w:p>
    <w:p w14:paraId="78C6BBE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GB/T 29639 </w:t>
      </w:r>
      <w:r>
        <w:rPr>
          <w:rFonts w:hint="eastAsia" w:ascii="仿宋" w:hAnsi="仿宋" w:eastAsia="仿宋" w:cs="仿宋"/>
          <w:sz w:val="24"/>
          <w:szCs w:val="24"/>
          <w:shd w:val="clear" w:color="auto" w:fill="FFFFFF"/>
        </w:rPr>
        <w:tab/>
      </w:r>
      <w:r>
        <w:rPr>
          <w:rFonts w:hint="eastAsia" w:ascii="仿宋" w:hAnsi="仿宋" w:eastAsia="仿宋" w:cs="仿宋"/>
          <w:sz w:val="24"/>
          <w:szCs w:val="24"/>
          <w:shd w:val="clear" w:color="auto" w:fill="FFFFFF"/>
        </w:rPr>
        <w:t>生产经营单位生产安全事故应急预案编制导则</w:t>
      </w:r>
    </w:p>
    <w:p w14:paraId="7B23C6F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GB/T 37228  公共安全  应急管理  突发事件响应要求</w:t>
      </w:r>
    </w:p>
    <w:p w14:paraId="2694CC2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GA/T</w:t>
      </w:r>
      <w:r>
        <w:rPr>
          <w:rFonts w:hint="eastAsia" w:ascii="仿宋" w:hAnsi="仿宋" w:eastAsia="仿宋" w:cs="仿宋"/>
          <w:sz w:val="24"/>
          <w:szCs w:val="24"/>
          <w:shd w:val="clear" w:color="auto" w:fill="FFFFFF"/>
          <w:lang w:val="en-US" w:eastAsia="zh-CN"/>
        </w:rPr>
        <w:t xml:space="preserve"> </w:t>
      </w:r>
      <w:r>
        <w:rPr>
          <w:rFonts w:hint="eastAsia" w:ascii="仿宋" w:hAnsi="仿宋" w:eastAsia="仿宋" w:cs="仿宋"/>
          <w:sz w:val="24"/>
          <w:szCs w:val="24"/>
          <w:shd w:val="clear" w:color="auto" w:fill="FFFFFF"/>
        </w:rPr>
        <w:t>1081 安全防范系统维护保养规范</w:t>
      </w:r>
    </w:p>
    <w:p w14:paraId="356970C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WW/T 0092 博物馆运行评估指标</w:t>
      </w:r>
    </w:p>
    <w:p w14:paraId="553BB73F">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七、重大分歧意见的处理经过和依据</w:t>
      </w:r>
    </w:p>
    <w:p w14:paraId="001E30F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无</w:t>
      </w:r>
    </w:p>
    <w:p w14:paraId="0D3B6BC0">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八、涉及专利的有关说明</w:t>
      </w:r>
    </w:p>
    <w:p w14:paraId="5C5CCE1A">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 w:hAnsi="仿宋" w:eastAsia="仿宋" w:cs="仿宋"/>
          <w:sz w:val="24"/>
          <w:szCs w:val="24"/>
          <w:shd w:val="clear" w:color="auto" w:fill="FFFFFF"/>
          <w:lang w:val="en-US" w:eastAsia="zh-CN"/>
        </w:rPr>
      </w:pPr>
      <w:r>
        <w:rPr>
          <w:rFonts w:hint="eastAsia" w:ascii="仿宋" w:hAnsi="仿宋" w:eastAsia="仿宋" w:cs="仿宋"/>
          <w:sz w:val="24"/>
          <w:szCs w:val="24"/>
          <w:shd w:val="clear" w:color="auto" w:fill="FFFFFF"/>
          <w:lang w:val="en-US" w:eastAsia="zh-CN"/>
        </w:rPr>
        <w:t>无</w:t>
      </w:r>
    </w:p>
    <w:p w14:paraId="55C6E8CA">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九、实施标准的要求，以及组织措施、技术措施、过渡期和实施日期的建议等措施建议</w:t>
      </w:r>
    </w:p>
    <w:p w14:paraId="6FB0FD1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eastAsia="仿宋"/>
          <w:sz w:val="24"/>
          <w:szCs w:val="24"/>
          <w:shd w:val="clear" w:color="auto" w:fill="FFFFFF"/>
        </w:rPr>
      </w:pPr>
      <w:r>
        <w:rPr>
          <w:rFonts w:hint="eastAsia" w:ascii="Times New Roman" w:hAnsi="Times New Roman" w:eastAsia="仿宋"/>
          <w:sz w:val="24"/>
          <w:szCs w:val="24"/>
          <w:shd w:val="clear" w:color="auto" w:fill="FFFFFF"/>
        </w:rPr>
        <w:t>本标准给出一套规范标准，从机构人员与职责、安全保卫管理制度、日常管理等方面明确博物馆安全保卫工作内容，为各博物馆安全保卫工作提供指引。考虑各博物馆管理水平和实际风险差异较大，本标准确定为推荐性标准，可作为博物馆开展安全保卫管理工作的指导和参考。</w:t>
      </w:r>
    </w:p>
    <w:p w14:paraId="7CE1DB7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eastAsia="仿宋"/>
          <w:sz w:val="24"/>
          <w:szCs w:val="24"/>
          <w:shd w:val="clear" w:color="auto" w:fill="FFFFFF"/>
        </w:rPr>
      </w:pPr>
      <w:r>
        <w:rPr>
          <w:rFonts w:hint="eastAsia" w:ascii="Times New Roman" w:hAnsi="Times New Roman" w:eastAsia="仿宋"/>
          <w:sz w:val="24"/>
          <w:szCs w:val="24"/>
          <w:shd w:val="clear" w:color="auto" w:fill="FFFFFF"/>
        </w:rPr>
        <w:t>为保证本标准的实施效果，项目组建议采取如下措施：</w:t>
      </w:r>
    </w:p>
    <w:p w14:paraId="7FAE7B2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eastAsia="仿宋"/>
          <w:sz w:val="24"/>
          <w:szCs w:val="24"/>
          <w:shd w:val="clear" w:color="auto" w:fill="FFFFFF"/>
        </w:rPr>
      </w:pPr>
      <w:r>
        <w:rPr>
          <w:rFonts w:hint="eastAsia" w:ascii="Times New Roman" w:hAnsi="Times New Roman" w:eastAsia="仿宋"/>
          <w:sz w:val="24"/>
          <w:szCs w:val="24"/>
          <w:shd w:val="clear" w:color="auto" w:fill="FFFFFF"/>
        </w:rPr>
        <w:t>第一，在文物行政主管部门指导下，以标准编制单位为核心，成立标准推广指导组，负责推动本标准在各级各类博物馆安全保卫的落地应用，并跟踪实施情况，及时收集整理相关单位的反馈意见，为未来进一步修订完善标准提供依据。</w:t>
      </w:r>
    </w:p>
    <w:p w14:paraId="63B7E6F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eastAsia="仿宋"/>
          <w:sz w:val="24"/>
          <w:szCs w:val="24"/>
          <w:shd w:val="clear" w:color="auto" w:fill="FFFFFF"/>
        </w:rPr>
      </w:pPr>
      <w:r>
        <w:rPr>
          <w:rFonts w:hint="eastAsia" w:ascii="Times New Roman" w:hAnsi="Times New Roman" w:eastAsia="仿宋"/>
          <w:sz w:val="24"/>
          <w:szCs w:val="24"/>
          <w:shd w:val="clear" w:color="auto" w:fill="FFFFFF"/>
        </w:rPr>
        <w:t>第二，由上述推广指导组牵头编制本文件的实施建议方案，并在相关博物馆行政主管部门的协调推进下，有针对性地开展宣贯和培训活动，增强实施标准的自觉性。</w:t>
      </w:r>
    </w:p>
    <w:p w14:paraId="2124F43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eastAsia="仿宋"/>
          <w:sz w:val="24"/>
          <w:szCs w:val="24"/>
          <w:shd w:val="clear" w:color="auto" w:fill="FFFFFF"/>
        </w:rPr>
      </w:pPr>
      <w:r>
        <w:rPr>
          <w:rFonts w:hint="eastAsia" w:ascii="Times New Roman" w:hAnsi="Times New Roman" w:eastAsia="仿宋"/>
          <w:sz w:val="24"/>
          <w:szCs w:val="24"/>
          <w:shd w:val="clear" w:color="auto" w:fill="FFFFFF"/>
        </w:rPr>
        <w:t>第三，按照国家和行业标准有关评估方法，定期开展标准实施有效性评估。为标委会有针对性地开展标准管理提供依据。</w:t>
      </w:r>
    </w:p>
    <w:p w14:paraId="10156C3F">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十、其他应当说明的事项</w:t>
      </w:r>
    </w:p>
    <w:p w14:paraId="1078451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仿宋" w:cs="Times New Roman"/>
          <w:sz w:val="24"/>
          <w:szCs w:val="24"/>
          <w:shd w:val="clear" w:color="auto" w:fill="FFFFFF"/>
        </w:rPr>
      </w:pPr>
      <w:r>
        <w:rPr>
          <w:rFonts w:hint="eastAsia" w:ascii="Times New Roman" w:hAnsi="Times New Roman" w:eastAsia="仿宋" w:cs="Times New Roman"/>
          <w:sz w:val="24"/>
          <w:szCs w:val="24"/>
          <w:shd w:val="clear" w:color="auto" w:fill="FFFFFF"/>
        </w:rPr>
        <w:t>无</w:t>
      </w:r>
    </w:p>
    <w:p w14:paraId="538995AF">
      <w:pPr>
        <w:spacing w:line="320" w:lineRule="exact"/>
        <w:rPr>
          <w:rFonts w:ascii="Times New Roman" w:hAnsi="Times New Roman" w:eastAsia="仿宋"/>
          <w:shd w:val="clear" w:color="auto" w:fill="FFFFFF"/>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7F694E5C-493D-42F6-BEA5-4DADA32C1AB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embedRegular r:id="rId2" w:fontKey="{5FA9BA93-7A09-4BB2-A6B6-C3A7C6091E0A}"/>
  </w:font>
  <w:font w:name="微软雅黑">
    <w:panose1 w:val="020B0503020204020204"/>
    <w:charset w:val="86"/>
    <w:family w:val="auto"/>
    <w:pitch w:val="default"/>
    <w:sig w:usb0="80000287" w:usb1="2ACF3C50" w:usb2="00000016" w:usb3="00000000" w:csb0="0004001F" w:csb1="00000000"/>
    <w:embedRegular r:id="rId3" w:fontKey="{9C3EF695-9D8B-4368-B873-9C7C92A69DCA}"/>
  </w:font>
  <w:font w:name="仿宋_GB2312">
    <w:panose1 w:val="02010609030101010101"/>
    <w:charset w:val="86"/>
    <w:family w:val="modern"/>
    <w:pitch w:val="default"/>
    <w:sig w:usb0="00000001" w:usb1="080E0000" w:usb2="00000000" w:usb3="00000000" w:csb0="00040000" w:csb1="00000000"/>
    <w:embedRegular r:id="rId4" w:fontKey="{3CD43EFF-390A-4BE6-81CB-752481B5595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F6C6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75CE">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BCC75CE">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CB99"/>
    <w:multiLevelType w:val="singleLevel"/>
    <w:tmpl w:val="9B1ECB99"/>
    <w:lvl w:ilvl="0" w:tentative="0">
      <w:start w:val="1"/>
      <w:numFmt w:val="decimal"/>
      <w:suff w:val="nothing"/>
      <w:lvlText w:val="（%1）"/>
      <w:lvlJc w:val="left"/>
    </w:lvl>
  </w:abstractNum>
  <w:abstractNum w:abstractNumId="1">
    <w:nsid w:val="A1B671BC"/>
    <w:multiLevelType w:val="singleLevel"/>
    <w:tmpl w:val="A1B671BC"/>
    <w:lvl w:ilvl="0" w:tentative="0">
      <w:start w:val="1"/>
      <w:numFmt w:val="decimal"/>
      <w:lvlText w:val="%1."/>
      <w:lvlJc w:val="left"/>
      <w:pPr>
        <w:ind w:left="425" w:hanging="425"/>
      </w:pPr>
      <w:rPr>
        <w:rFonts w:hint="default" w:ascii="Times New Roman" w:hAnsi="Times New Roman" w:cs="Times New Roman"/>
      </w:rPr>
    </w:lvl>
  </w:abstractNum>
  <w:abstractNum w:abstractNumId="2">
    <w:nsid w:val="B4E4BA4C"/>
    <w:multiLevelType w:val="singleLevel"/>
    <w:tmpl w:val="B4E4BA4C"/>
    <w:lvl w:ilvl="0" w:tentative="0">
      <w:start w:val="2"/>
      <w:numFmt w:val="chineseCounting"/>
      <w:suff w:val="nothing"/>
      <w:lvlText w:val="（%1）"/>
      <w:lvlJc w:val="left"/>
      <w:rPr>
        <w:rFonts w:hint="eastAsia"/>
      </w:rPr>
    </w:lvl>
  </w:abstractNum>
  <w:abstractNum w:abstractNumId="3">
    <w:nsid w:val="C776E1DA"/>
    <w:multiLevelType w:val="singleLevel"/>
    <w:tmpl w:val="C776E1DA"/>
    <w:lvl w:ilvl="0" w:tentative="0">
      <w:start w:val="4"/>
      <w:numFmt w:val="decimal"/>
      <w:lvlText w:val="%1."/>
      <w:lvlJc w:val="left"/>
      <w:pPr>
        <w:tabs>
          <w:tab w:val="left" w:pos="312"/>
        </w:tabs>
      </w:pPr>
    </w:lvl>
  </w:abstractNum>
  <w:abstractNum w:abstractNumId="4">
    <w:nsid w:val="0924EB7F"/>
    <w:multiLevelType w:val="singleLevel"/>
    <w:tmpl w:val="0924EB7F"/>
    <w:lvl w:ilvl="0" w:tentative="0">
      <w:start w:val="1"/>
      <w:numFmt w:val="decimal"/>
      <w:suff w:val="space"/>
      <w:lvlText w:val="(%1)"/>
      <w:lvlJc w:val="left"/>
      <w:pPr>
        <w:ind w:left="425" w:hanging="425"/>
      </w:pPr>
      <w:rPr>
        <w:rFonts w:hint="default"/>
      </w:rPr>
    </w:lvl>
  </w:abstractNum>
  <w:abstractNum w:abstractNumId="5">
    <w:nsid w:val="0F1D9BDA"/>
    <w:multiLevelType w:val="multilevel"/>
    <w:tmpl w:val="0F1D9BDA"/>
    <w:lvl w:ilvl="0" w:tentative="0">
      <w:start w:val="1"/>
      <w:numFmt w:val="decimal"/>
      <w:suff w:val="nothing"/>
      <w:lvlText w:val="第%1章"/>
      <w:lvlJc w:val="left"/>
      <w:pPr>
        <w:ind w:left="0" w:firstLine="0"/>
      </w:pPr>
      <w:rPr>
        <w:rFonts w:hint="eastAsia"/>
      </w:rPr>
    </w:lvl>
    <w:lvl w:ilvl="1" w:tentative="0">
      <w:start w:val="1"/>
      <w:numFmt w:val="decimal"/>
      <w:suff w:val="nothing"/>
      <w:lvlText w:val="%1.%2"/>
      <w:lvlJc w:val="left"/>
      <w:pPr>
        <w:ind w:left="0" w:firstLine="0"/>
      </w:pPr>
      <w:rPr>
        <w:rFonts w:hint="eastAsia"/>
        <w:b/>
        <w:i w:val="0"/>
        <w:sz w:val="28"/>
        <w:szCs w:val="28"/>
      </w:rPr>
    </w:lvl>
    <w:lvl w:ilvl="2" w:tentative="0">
      <w:start w:val="1"/>
      <w:numFmt w:val="decimal"/>
      <w:pStyle w:val="2"/>
      <w:suff w:val="nothing"/>
      <w:lvlText w:val="%1.%2.%3"/>
      <w:lvlJc w:val="left"/>
      <w:pPr>
        <w:ind w:left="2880" w:firstLine="0"/>
      </w:pPr>
      <w:rPr>
        <w:rFonts w:hint="eastAsia"/>
      </w:rPr>
    </w:lvl>
    <w:lvl w:ilvl="3" w:tentative="0">
      <w:start w:val="1"/>
      <w:numFmt w:val="decimal"/>
      <w:pStyle w:val="3"/>
      <w:suff w:val="nothing"/>
      <w:lvlText w:val="%1.%2.%3.%4"/>
      <w:lvlJc w:val="left"/>
      <w:pPr>
        <w:ind w:left="0" w:firstLine="0"/>
      </w:pPr>
      <w:rPr>
        <w:rFonts w:hint="eastAsia"/>
      </w:rPr>
    </w:lvl>
    <w:lvl w:ilvl="4" w:tentative="0">
      <w:start w:val="1"/>
      <w:numFmt w:val="decimal"/>
      <w:suff w:val="nothing"/>
      <w:lvlText w:val="%1.%2.%3.%4.%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6">
    <w:nsid w:val="71866008"/>
    <w:multiLevelType w:val="multilevel"/>
    <w:tmpl w:val="71866008"/>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6"/>
  </w:num>
  <w:num w:numId="3">
    <w:abstractNumId w:val="3"/>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kxMzAzN2RmMWRkOGEwNDlmNGI3YzAyOGZiMzNhYmIifQ=="/>
  </w:docVars>
  <w:rsids>
    <w:rsidRoot w:val="0025474C"/>
    <w:rsid w:val="00014A98"/>
    <w:rsid w:val="00015895"/>
    <w:rsid w:val="000224FA"/>
    <w:rsid w:val="00035753"/>
    <w:rsid w:val="00062B39"/>
    <w:rsid w:val="00071E8B"/>
    <w:rsid w:val="00093A02"/>
    <w:rsid w:val="00097FB3"/>
    <w:rsid w:val="000A1050"/>
    <w:rsid w:val="000C564B"/>
    <w:rsid w:val="000D7D00"/>
    <w:rsid w:val="000E7F74"/>
    <w:rsid w:val="000F3682"/>
    <w:rsid w:val="001019A8"/>
    <w:rsid w:val="00110EE1"/>
    <w:rsid w:val="00115AD1"/>
    <w:rsid w:val="00120AAA"/>
    <w:rsid w:val="00121EB3"/>
    <w:rsid w:val="001339E6"/>
    <w:rsid w:val="0014395E"/>
    <w:rsid w:val="00143DD9"/>
    <w:rsid w:val="001464B3"/>
    <w:rsid w:val="0015190C"/>
    <w:rsid w:val="00176514"/>
    <w:rsid w:val="00193E22"/>
    <w:rsid w:val="00195C0B"/>
    <w:rsid w:val="001979C4"/>
    <w:rsid w:val="001B1B00"/>
    <w:rsid w:val="001D03CD"/>
    <w:rsid w:val="001D1C15"/>
    <w:rsid w:val="001F2838"/>
    <w:rsid w:val="00204B89"/>
    <w:rsid w:val="00235E7F"/>
    <w:rsid w:val="00250160"/>
    <w:rsid w:val="0025474C"/>
    <w:rsid w:val="00257982"/>
    <w:rsid w:val="002741F1"/>
    <w:rsid w:val="002755C4"/>
    <w:rsid w:val="002A1C08"/>
    <w:rsid w:val="002C41DA"/>
    <w:rsid w:val="002D042D"/>
    <w:rsid w:val="002D7DFC"/>
    <w:rsid w:val="00310E9B"/>
    <w:rsid w:val="00313512"/>
    <w:rsid w:val="00323243"/>
    <w:rsid w:val="00323CEE"/>
    <w:rsid w:val="00332AC4"/>
    <w:rsid w:val="003375F3"/>
    <w:rsid w:val="0034263E"/>
    <w:rsid w:val="00344F03"/>
    <w:rsid w:val="00351325"/>
    <w:rsid w:val="00363BA6"/>
    <w:rsid w:val="00374F5B"/>
    <w:rsid w:val="00385F95"/>
    <w:rsid w:val="003A7461"/>
    <w:rsid w:val="003B3443"/>
    <w:rsid w:val="003F391C"/>
    <w:rsid w:val="004073B9"/>
    <w:rsid w:val="00416BCF"/>
    <w:rsid w:val="00416DB0"/>
    <w:rsid w:val="004425FF"/>
    <w:rsid w:val="00443AE2"/>
    <w:rsid w:val="00446A45"/>
    <w:rsid w:val="00453993"/>
    <w:rsid w:val="004605FD"/>
    <w:rsid w:val="004613BE"/>
    <w:rsid w:val="00464CB1"/>
    <w:rsid w:val="00472566"/>
    <w:rsid w:val="00475F4D"/>
    <w:rsid w:val="00477F95"/>
    <w:rsid w:val="00484960"/>
    <w:rsid w:val="00497DCA"/>
    <w:rsid w:val="004A42DC"/>
    <w:rsid w:val="004A4A8E"/>
    <w:rsid w:val="004E0377"/>
    <w:rsid w:val="004E123D"/>
    <w:rsid w:val="004E4309"/>
    <w:rsid w:val="004E79D7"/>
    <w:rsid w:val="004F3666"/>
    <w:rsid w:val="005038C9"/>
    <w:rsid w:val="00520B90"/>
    <w:rsid w:val="00521A63"/>
    <w:rsid w:val="005237CE"/>
    <w:rsid w:val="00531667"/>
    <w:rsid w:val="00540076"/>
    <w:rsid w:val="005402DE"/>
    <w:rsid w:val="00545754"/>
    <w:rsid w:val="00550BE4"/>
    <w:rsid w:val="00556CFA"/>
    <w:rsid w:val="00564CC9"/>
    <w:rsid w:val="0059428D"/>
    <w:rsid w:val="00595E9B"/>
    <w:rsid w:val="00597172"/>
    <w:rsid w:val="005A19D0"/>
    <w:rsid w:val="005A2B3F"/>
    <w:rsid w:val="005C110A"/>
    <w:rsid w:val="005C2AC0"/>
    <w:rsid w:val="005D70FA"/>
    <w:rsid w:val="005D728C"/>
    <w:rsid w:val="005E1585"/>
    <w:rsid w:val="005E48AE"/>
    <w:rsid w:val="005E64CC"/>
    <w:rsid w:val="005F00B2"/>
    <w:rsid w:val="005F6EB9"/>
    <w:rsid w:val="00600E8F"/>
    <w:rsid w:val="00603D67"/>
    <w:rsid w:val="006078B7"/>
    <w:rsid w:val="006160CC"/>
    <w:rsid w:val="00617663"/>
    <w:rsid w:val="006227AE"/>
    <w:rsid w:val="00626420"/>
    <w:rsid w:val="00636AC9"/>
    <w:rsid w:val="00642752"/>
    <w:rsid w:val="00650078"/>
    <w:rsid w:val="00662403"/>
    <w:rsid w:val="00665716"/>
    <w:rsid w:val="00676A9E"/>
    <w:rsid w:val="00680BD7"/>
    <w:rsid w:val="00682D85"/>
    <w:rsid w:val="006847DF"/>
    <w:rsid w:val="0068641C"/>
    <w:rsid w:val="00690ECF"/>
    <w:rsid w:val="006A072A"/>
    <w:rsid w:val="006A2A81"/>
    <w:rsid w:val="006B005F"/>
    <w:rsid w:val="006B6C2C"/>
    <w:rsid w:val="006B7572"/>
    <w:rsid w:val="006C7DA1"/>
    <w:rsid w:val="006D5033"/>
    <w:rsid w:val="0070097A"/>
    <w:rsid w:val="00700DB9"/>
    <w:rsid w:val="00717E2C"/>
    <w:rsid w:val="00720712"/>
    <w:rsid w:val="007257AD"/>
    <w:rsid w:val="00733D6E"/>
    <w:rsid w:val="007355B9"/>
    <w:rsid w:val="00735813"/>
    <w:rsid w:val="00737320"/>
    <w:rsid w:val="00743830"/>
    <w:rsid w:val="00754039"/>
    <w:rsid w:val="0076187C"/>
    <w:rsid w:val="00761B6C"/>
    <w:rsid w:val="00774523"/>
    <w:rsid w:val="00776A99"/>
    <w:rsid w:val="0077743F"/>
    <w:rsid w:val="00780DB0"/>
    <w:rsid w:val="00780FCD"/>
    <w:rsid w:val="007B291D"/>
    <w:rsid w:val="007B3541"/>
    <w:rsid w:val="007C2F90"/>
    <w:rsid w:val="007E31C0"/>
    <w:rsid w:val="007F3E11"/>
    <w:rsid w:val="00805008"/>
    <w:rsid w:val="00814D98"/>
    <w:rsid w:val="008217C9"/>
    <w:rsid w:val="00825569"/>
    <w:rsid w:val="00825A2B"/>
    <w:rsid w:val="00832FF3"/>
    <w:rsid w:val="0083673D"/>
    <w:rsid w:val="008446FC"/>
    <w:rsid w:val="008527F1"/>
    <w:rsid w:val="00871979"/>
    <w:rsid w:val="00882B6D"/>
    <w:rsid w:val="008878F7"/>
    <w:rsid w:val="008B5F66"/>
    <w:rsid w:val="008C0A21"/>
    <w:rsid w:val="008C5232"/>
    <w:rsid w:val="008D05A8"/>
    <w:rsid w:val="008E74A1"/>
    <w:rsid w:val="008F0AC4"/>
    <w:rsid w:val="00900608"/>
    <w:rsid w:val="00937463"/>
    <w:rsid w:val="009801C7"/>
    <w:rsid w:val="009832C8"/>
    <w:rsid w:val="009915E0"/>
    <w:rsid w:val="0099240A"/>
    <w:rsid w:val="009968D5"/>
    <w:rsid w:val="00997D30"/>
    <w:rsid w:val="009A3B3E"/>
    <w:rsid w:val="009A5857"/>
    <w:rsid w:val="009B2DE0"/>
    <w:rsid w:val="009B769E"/>
    <w:rsid w:val="009C60CE"/>
    <w:rsid w:val="009C68E9"/>
    <w:rsid w:val="009D30DD"/>
    <w:rsid w:val="009D6C11"/>
    <w:rsid w:val="009D6EF3"/>
    <w:rsid w:val="009D7A04"/>
    <w:rsid w:val="009E141B"/>
    <w:rsid w:val="009E7735"/>
    <w:rsid w:val="00A01806"/>
    <w:rsid w:val="00A045B2"/>
    <w:rsid w:val="00A11AD5"/>
    <w:rsid w:val="00A16C4A"/>
    <w:rsid w:val="00A260C8"/>
    <w:rsid w:val="00A4520D"/>
    <w:rsid w:val="00A60B8C"/>
    <w:rsid w:val="00A90D2B"/>
    <w:rsid w:val="00A95CE5"/>
    <w:rsid w:val="00A97884"/>
    <w:rsid w:val="00AA3B7C"/>
    <w:rsid w:val="00AA59A2"/>
    <w:rsid w:val="00AB4C32"/>
    <w:rsid w:val="00AB74BA"/>
    <w:rsid w:val="00AD2A40"/>
    <w:rsid w:val="00AD2CD1"/>
    <w:rsid w:val="00AD4291"/>
    <w:rsid w:val="00AD4D7D"/>
    <w:rsid w:val="00AD635F"/>
    <w:rsid w:val="00AE34A0"/>
    <w:rsid w:val="00AE5D6B"/>
    <w:rsid w:val="00AF0681"/>
    <w:rsid w:val="00AF14F7"/>
    <w:rsid w:val="00AF56BE"/>
    <w:rsid w:val="00B029E9"/>
    <w:rsid w:val="00B23DD6"/>
    <w:rsid w:val="00B311F8"/>
    <w:rsid w:val="00B45636"/>
    <w:rsid w:val="00B46380"/>
    <w:rsid w:val="00B50E46"/>
    <w:rsid w:val="00B64BAA"/>
    <w:rsid w:val="00BC77E8"/>
    <w:rsid w:val="00BC7FBF"/>
    <w:rsid w:val="00BD0FD0"/>
    <w:rsid w:val="00BE117C"/>
    <w:rsid w:val="00BE6379"/>
    <w:rsid w:val="00C07F57"/>
    <w:rsid w:val="00C16FE8"/>
    <w:rsid w:val="00C22B49"/>
    <w:rsid w:val="00C23622"/>
    <w:rsid w:val="00C270B4"/>
    <w:rsid w:val="00C411D5"/>
    <w:rsid w:val="00C4496F"/>
    <w:rsid w:val="00C55B34"/>
    <w:rsid w:val="00C56C87"/>
    <w:rsid w:val="00C80DD0"/>
    <w:rsid w:val="00C92C10"/>
    <w:rsid w:val="00CA629A"/>
    <w:rsid w:val="00CB206D"/>
    <w:rsid w:val="00CC1880"/>
    <w:rsid w:val="00CF39A0"/>
    <w:rsid w:val="00CF4A2C"/>
    <w:rsid w:val="00CF5081"/>
    <w:rsid w:val="00D0277D"/>
    <w:rsid w:val="00D10A0C"/>
    <w:rsid w:val="00D17875"/>
    <w:rsid w:val="00D21190"/>
    <w:rsid w:val="00D2664A"/>
    <w:rsid w:val="00D40CC7"/>
    <w:rsid w:val="00D50089"/>
    <w:rsid w:val="00D544D9"/>
    <w:rsid w:val="00D71849"/>
    <w:rsid w:val="00D7230B"/>
    <w:rsid w:val="00D75434"/>
    <w:rsid w:val="00D7720B"/>
    <w:rsid w:val="00D8227B"/>
    <w:rsid w:val="00D850FB"/>
    <w:rsid w:val="00DA1120"/>
    <w:rsid w:val="00DC0278"/>
    <w:rsid w:val="00DC480C"/>
    <w:rsid w:val="00DC5488"/>
    <w:rsid w:val="00DC6952"/>
    <w:rsid w:val="00DE0C5E"/>
    <w:rsid w:val="00DE4FB7"/>
    <w:rsid w:val="00DF574C"/>
    <w:rsid w:val="00DF6F6A"/>
    <w:rsid w:val="00E24277"/>
    <w:rsid w:val="00E60DB4"/>
    <w:rsid w:val="00E61737"/>
    <w:rsid w:val="00E81952"/>
    <w:rsid w:val="00EA2633"/>
    <w:rsid w:val="00EB1E6D"/>
    <w:rsid w:val="00EC7B9E"/>
    <w:rsid w:val="00ED06AE"/>
    <w:rsid w:val="00ED171E"/>
    <w:rsid w:val="00ED53DD"/>
    <w:rsid w:val="00EE2955"/>
    <w:rsid w:val="00EF37AE"/>
    <w:rsid w:val="00EF4076"/>
    <w:rsid w:val="00F12212"/>
    <w:rsid w:val="00F14629"/>
    <w:rsid w:val="00F205C3"/>
    <w:rsid w:val="00F24978"/>
    <w:rsid w:val="00F517C4"/>
    <w:rsid w:val="00F66129"/>
    <w:rsid w:val="00F755D8"/>
    <w:rsid w:val="00F77431"/>
    <w:rsid w:val="00F77CEE"/>
    <w:rsid w:val="00F800C1"/>
    <w:rsid w:val="00F948A4"/>
    <w:rsid w:val="00FC031C"/>
    <w:rsid w:val="00FC4726"/>
    <w:rsid w:val="00FD07B2"/>
    <w:rsid w:val="00FE0638"/>
    <w:rsid w:val="016C71F3"/>
    <w:rsid w:val="01703979"/>
    <w:rsid w:val="027702E5"/>
    <w:rsid w:val="029307AF"/>
    <w:rsid w:val="02960E8F"/>
    <w:rsid w:val="029D518A"/>
    <w:rsid w:val="02A52788"/>
    <w:rsid w:val="02AD1871"/>
    <w:rsid w:val="02D8073A"/>
    <w:rsid w:val="032F4898"/>
    <w:rsid w:val="03805870"/>
    <w:rsid w:val="03AE15D6"/>
    <w:rsid w:val="03E47515"/>
    <w:rsid w:val="04B8274F"/>
    <w:rsid w:val="04E4749E"/>
    <w:rsid w:val="0563248A"/>
    <w:rsid w:val="056C5A14"/>
    <w:rsid w:val="06116B9E"/>
    <w:rsid w:val="0622270A"/>
    <w:rsid w:val="066145B1"/>
    <w:rsid w:val="066945DC"/>
    <w:rsid w:val="06B82220"/>
    <w:rsid w:val="071D5642"/>
    <w:rsid w:val="07283BBC"/>
    <w:rsid w:val="07754928"/>
    <w:rsid w:val="07A256F0"/>
    <w:rsid w:val="08D92CA2"/>
    <w:rsid w:val="08E67F93"/>
    <w:rsid w:val="09265ED9"/>
    <w:rsid w:val="09795E3C"/>
    <w:rsid w:val="0A4A130A"/>
    <w:rsid w:val="0A4D1921"/>
    <w:rsid w:val="0AED6F3D"/>
    <w:rsid w:val="0B114967"/>
    <w:rsid w:val="0B8C099F"/>
    <w:rsid w:val="0BBA46E9"/>
    <w:rsid w:val="0BCE4606"/>
    <w:rsid w:val="0D6126B0"/>
    <w:rsid w:val="0DA33F9D"/>
    <w:rsid w:val="0DB73567"/>
    <w:rsid w:val="0E05270A"/>
    <w:rsid w:val="0E7714C9"/>
    <w:rsid w:val="0F5F5CA1"/>
    <w:rsid w:val="0F984030"/>
    <w:rsid w:val="101C7C4F"/>
    <w:rsid w:val="102D5D9F"/>
    <w:rsid w:val="105B33D4"/>
    <w:rsid w:val="10740E20"/>
    <w:rsid w:val="1122563D"/>
    <w:rsid w:val="117D2D56"/>
    <w:rsid w:val="125A4E46"/>
    <w:rsid w:val="125F420A"/>
    <w:rsid w:val="12973C2D"/>
    <w:rsid w:val="12E05687"/>
    <w:rsid w:val="13367661"/>
    <w:rsid w:val="134B4E74"/>
    <w:rsid w:val="13575115"/>
    <w:rsid w:val="14216A14"/>
    <w:rsid w:val="14706BA3"/>
    <w:rsid w:val="14B9451A"/>
    <w:rsid w:val="15371118"/>
    <w:rsid w:val="153B3A4B"/>
    <w:rsid w:val="15825B9B"/>
    <w:rsid w:val="15E01177"/>
    <w:rsid w:val="168A4645"/>
    <w:rsid w:val="16BE654C"/>
    <w:rsid w:val="170D2487"/>
    <w:rsid w:val="176C250E"/>
    <w:rsid w:val="177D585E"/>
    <w:rsid w:val="1850260A"/>
    <w:rsid w:val="18CE5C46"/>
    <w:rsid w:val="19D3618C"/>
    <w:rsid w:val="1A1F5092"/>
    <w:rsid w:val="1BB90E2F"/>
    <w:rsid w:val="1BF81957"/>
    <w:rsid w:val="1C083353"/>
    <w:rsid w:val="1C504CFC"/>
    <w:rsid w:val="1C77655F"/>
    <w:rsid w:val="1C987BD4"/>
    <w:rsid w:val="1C9B2983"/>
    <w:rsid w:val="1D464944"/>
    <w:rsid w:val="1D9434C4"/>
    <w:rsid w:val="1DF60118"/>
    <w:rsid w:val="1E2F1785"/>
    <w:rsid w:val="1E5D2CCF"/>
    <w:rsid w:val="1E866980"/>
    <w:rsid w:val="1FB66D31"/>
    <w:rsid w:val="1FC14756"/>
    <w:rsid w:val="202645B9"/>
    <w:rsid w:val="20B95BC0"/>
    <w:rsid w:val="20F63442"/>
    <w:rsid w:val="215835A8"/>
    <w:rsid w:val="216A6872"/>
    <w:rsid w:val="22D87A15"/>
    <w:rsid w:val="22EC262E"/>
    <w:rsid w:val="231E6C87"/>
    <w:rsid w:val="23C456B0"/>
    <w:rsid w:val="23C5485E"/>
    <w:rsid w:val="23E4297B"/>
    <w:rsid w:val="241C1A43"/>
    <w:rsid w:val="2443573A"/>
    <w:rsid w:val="24784E45"/>
    <w:rsid w:val="24E31259"/>
    <w:rsid w:val="25293712"/>
    <w:rsid w:val="252E63EA"/>
    <w:rsid w:val="25406339"/>
    <w:rsid w:val="261E5012"/>
    <w:rsid w:val="263E08AF"/>
    <w:rsid w:val="26510BA8"/>
    <w:rsid w:val="27081C70"/>
    <w:rsid w:val="27321A96"/>
    <w:rsid w:val="27351CB2"/>
    <w:rsid w:val="2859345B"/>
    <w:rsid w:val="28A26E6A"/>
    <w:rsid w:val="29282112"/>
    <w:rsid w:val="294507C2"/>
    <w:rsid w:val="29FB0865"/>
    <w:rsid w:val="2A263B34"/>
    <w:rsid w:val="2A6F4121"/>
    <w:rsid w:val="2AEB08D9"/>
    <w:rsid w:val="2B43688D"/>
    <w:rsid w:val="2B836D64"/>
    <w:rsid w:val="2C8D6881"/>
    <w:rsid w:val="2D3423A7"/>
    <w:rsid w:val="2DEB316E"/>
    <w:rsid w:val="2F9C03F4"/>
    <w:rsid w:val="2FF44415"/>
    <w:rsid w:val="30450A8C"/>
    <w:rsid w:val="30DC4F4C"/>
    <w:rsid w:val="312468F3"/>
    <w:rsid w:val="314B3E80"/>
    <w:rsid w:val="319B23D0"/>
    <w:rsid w:val="31A812D2"/>
    <w:rsid w:val="31D726D9"/>
    <w:rsid w:val="31F41E38"/>
    <w:rsid w:val="32F02F31"/>
    <w:rsid w:val="32FC4115"/>
    <w:rsid w:val="33806C58"/>
    <w:rsid w:val="33F211B7"/>
    <w:rsid w:val="342840EE"/>
    <w:rsid w:val="348C4EDB"/>
    <w:rsid w:val="35B75F88"/>
    <w:rsid w:val="35CA71C2"/>
    <w:rsid w:val="35D663F7"/>
    <w:rsid w:val="35DE1D87"/>
    <w:rsid w:val="369B7657"/>
    <w:rsid w:val="36D90C05"/>
    <w:rsid w:val="36E11CF3"/>
    <w:rsid w:val="37D270A9"/>
    <w:rsid w:val="38873006"/>
    <w:rsid w:val="39335C14"/>
    <w:rsid w:val="397A7F8B"/>
    <w:rsid w:val="3986639D"/>
    <w:rsid w:val="3A111627"/>
    <w:rsid w:val="3AC23405"/>
    <w:rsid w:val="3AD66AD0"/>
    <w:rsid w:val="3B075B11"/>
    <w:rsid w:val="3C1B0CC7"/>
    <w:rsid w:val="3CC33576"/>
    <w:rsid w:val="3D317BF3"/>
    <w:rsid w:val="3F58057C"/>
    <w:rsid w:val="3FE07E89"/>
    <w:rsid w:val="3FF37833"/>
    <w:rsid w:val="40285AA5"/>
    <w:rsid w:val="426A6872"/>
    <w:rsid w:val="42DE2DA6"/>
    <w:rsid w:val="43164E4D"/>
    <w:rsid w:val="43EC2C15"/>
    <w:rsid w:val="44424AA9"/>
    <w:rsid w:val="44B32010"/>
    <w:rsid w:val="44C311BC"/>
    <w:rsid w:val="44D22496"/>
    <w:rsid w:val="44E328F5"/>
    <w:rsid w:val="45420BD0"/>
    <w:rsid w:val="460A6114"/>
    <w:rsid w:val="46B362F7"/>
    <w:rsid w:val="47AE0910"/>
    <w:rsid w:val="47DF4029"/>
    <w:rsid w:val="47ED3A8B"/>
    <w:rsid w:val="484230F8"/>
    <w:rsid w:val="49986AFE"/>
    <w:rsid w:val="49A34401"/>
    <w:rsid w:val="4AA246B9"/>
    <w:rsid w:val="4AB34B18"/>
    <w:rsid w:val="4B0C1A0B"/>
    <w:rsid w:val="4B3953FE"/>
    <w:rsid w:val="4BA86CAC"/>
    <w:rsid w:val="4BFA1DED"/>
    <w:rsid w:val="4D700A9E"/>
    <w:rsid w:val="4DDA166F"/>
    <w:rsid w:val="4E061793"/>
    <w:rsid w:val="4E386730"/>
    <w:rsid w:val="4ED92FC4"/>
    <w:rsid w:val="4EE51018"/>
    <w:rsid w:val="4F1076CC"/>
    <w:rsid w:val="4F1D4C56"/>
    <w:rsid w:val="4F9609B7"/>
    <w:rsid w:val="4FBE01E7"/>
    <w:rsid w:val="5024262D"/>
    <w:rsid w:val="510E6777"/>
    <w:rsid w:val="51782617"/>
    <w:rsid w:val="51E14DA1"/>
    <w:rsid w:val="52423824"/>
    <w:rsid w:val="52630BD1"/>
    <w:rsid w:val="530530C9"/>
    <w:rsid w:val="53133409"/>
    <w:rsid w:val="53557105"/>
    <w:rsid w:val="53E126F6"/>
    <w:rsid w:val="555C7B5A"/>
    <w:rsid w:val="557E3F74"/>
    <w:rsid w:val="55AA6B17"/>
    <w:rsid w:val="55D01DBA"/>
    <w:rsid w:val="55DB6DA2"/>
    <w:rsid w:val="56734993"/>
    <w:rsid w:val="56871558"/>
    <w:rsid w:val="569A384F"/>
    <w:rsid w:val="56F269C8"/>
    <w:rsid w:val="574511ED"/>
    <w:rsid w:val="577E7636"/>
    <w:rsid w:val="578067A6"/>
    <w:rsid w:val="57B258B6"/>
    <w:rsid w:val="57C55E8A"/>
    <w:rsid w:val="57D305A7"/>
    <w:rsid w:val="57D936E4"/>
    <w:rsid w:val="580C1D0B"/>
    <w:rsid w:val="58313AA0"/>
    <w:rsid w:val="587873A1"/>
    <w:rsid w:val="596F287D"/>
    <w:rsid w:val="598E2466"/>
    <w:rsid w:val="5AF820D3"/>
    <w:rsid w:val="5B294982"/>
    <w:rsid w:val="5C1473E0"/>
    <w:rsid w:val="5CB564CD"/>
    <w:rsid w:val="5CCA24ED"/>
    <w:rsid w:val="5DEE5DFD"/>
    <w:rsid w:val="5DF527EF"/>
    <w:rsid w:val="5E047C37"/>
    <w:rsid w:val="5EEB6087"/>
    <w:rsid w:val="5F7D4316"/>
    <w:rsid w:val="5FAD4CB7"/>
    <w:rsid w:val="5FD17AC2"/>
    <w:rsid w:val="604007A4"/>
    <w:rsid w:val="609D30C7"/>
    <w:rsid w:val="60B371C8"/>
    <w:rsid w:val="61283690"/>
    <w:rsid w:val="613D62CA"/>
    <w:rsid w:val="614B7400"/>
    <w:rsid w:val="61972646"/>
    <w:rsid w:val="61A07BB7"/>
    <w:rsid w:val="62375BD7"/>
    <w:rsid w:val="62D56A83"/>
    <w:rsid w:val="631F1556"/>
    <w:rsid w:val="63450E2B"/>
    <w:rsid w:val="63950E07"/>
    <w:rsid w:val="63C20155"/>
    <w:rsid w:val="63CB5574"/>
    <w:rsid w:val="64096D03"/>
    <w:rsid w:val="64746C6E"/>
    <w:rsid w:val="64925D00"/>
    <w:rsid w:val="64F0627A"/>
    <w:rsid w:val="658A426F"/>
    <w:rsid w:val="67D0240D"/>
    <w:rsid w:val="68102E33"/>
    <w:rsid w:val="683C7AA3"/>
    <w:rsid w:val="68A261A5"/>
    <w:rsid w:val="694F4B23"/>
    <w:rsid w:val="69A71894"/>
    <w:rsid w:val="69BA3375"/>
    <w:rsid w:val="69F27F18"/>
    <w:rsid w:val="6A2C1D99"/>
    <w:rsid w:val="6A5A6906"/>
    <w:rsid w:val="6AD95A7D"/>
    <w:rsid w:val="6B234234"/>
    <w:rsid w:val="6C3D6102"/>
    <w:rsid w:val="6D045452"/>
    <w:rsid w:val="6D242B41"/>
    <w:rsid w:val="6D28703D"/>
    <w:rsid w:val="6D5A49FE"/>
    <w:rsid w:val="6E6E6AFB"/>
    <w:rsid w:val="6EA55B36"/>
    <w:rsid w:val="6F0E6B0E"/>
    <w:rsid w:val="6FBA084E"/>
    <w:rsid w:val="6FDE5136"/>
    <w:rsid w:val="7035538E"/>
    <w:rsid w:val="707967AC"/>
    <w:rsid w:val="70B571E0"/>
    <w:rsid w:val="714D2A1E"/>
    <w:rsid w:val="71A80038"/>
    <w:rsid w:val="71C00575"/>
    <w:rsid w:val="71CE4E05"/>
    <w:rsid w:val="71FD4747"/>
    <w:rsid w:val="72AE5A41"/>
    <w:rsid w:val="72F53F67"/>
    <w:rsid w:val="749E3893"/>
    <w:rsid w:val="7507768A"/>
    <w:rsid w:val="75AB78BE"/>
    <w:rsid w:val="75CE7B37"/>
    <w:rsid w:val="765949AE"/>
    <w:rsid w:val="769D01BC"/>
    <w:rsid w:val="77C47AB5"/>
    <w:rsid w:val="77E6609C"/>
    <w:rsid w:val="782A525A"/>
    <w:rsid w:val="786A41B8"/>
    <w:rsid w:val="7990329A"/>
    <w:rsid w:val="79AE00DF"/>
    <w:rsid w:val="7A5C5D83"/>
    <w:rsid w:val="7B4927AB"/>
    <w:rsid w:val="7B55657A"/>
    <w:rsid w:val="7B8053BB"/>
    <w:rsid w:val="7D566AF6"/>
    <w:rsid w:val="7DE1742A"/>
    <w:rsid w:val="7DE642E1"/>
    <w:rsid w:val="7E846EA6"/>
    <w:rsid w:val="7F4E65E2"/>
    <w:rsid w:val="7F565496"/>
    <w:rsid w:val="7F584460"/>
    <w:rsid w:val="7F6D6ED5"/>
    <w:rsid w:val="7FD05249"/>
    <w:rsid w:val="7FFA5BE2"/>
    <w:rsid w:val="BB4F0732"/>
    <w:rsid w:val="EFD66036"/>
    <w:rsid w:val="FF6F6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3"/>
    <w:basedOn w:val="1"/>
    <w:next w:val="1"/>
    <w:semiHidden/>
    <w:unhideWhenUsed/>
    <w:qFormat/>
    <w:uiPriority w:val="9"/>
    <w:pPr>
      <w:keepNext/>
      <w:keepLines/>
      <w:numPr>
        <w:ilvl w:val="2"/>
        <w:numId w:val="1"/>
      </w:numPr>
      <w:spacing w:before="260" w:after="260" w:line="413" w:lineRule="auto"/>
      <w:outlineLvl w:val="2"/>
    </w:pPr>
    <w:rPr>
      <w:b/>
      <w:sz w:val="32"/>
    </w:rPr>
  </w:style>
  <w:style w:type="paragraph" w:styleId="3">
    <w:name w:val="heading 4"/>
    <w:basedOn w:val="1"/>
    <w:next w:val="1"/>
    <w:autoRedefine/>
    <w:semiHidden/>
    <w:unhideWhenUsed/>
    <w:qFormat/>
    <w:uiPriority w:val="9"/>
    <w:pPr>
      <w:keepNext/>
      <w:keepLines/>
      <w:numPr>
        <w:ilvl w:val="3"/>
        <w:numId w:val="1"/>
      </w:numPr>
      <w:spacing w:before="280" w:after="290"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autoRedefine/>
    <w:semiHidden/>
    <w:unhideWhenUsed/>
    <w:qFormat/>
    <w:uiPriority w:val="99"/>
    <w:pPr>
      <w:jc w:val="left"/>
    </w:pPr>
  </w:style>
  <w:style w:type="paragraph" w:styleId="5">
    <w:name w:val="Body Text"/>
    <w:basedOn w:val="1"/>
    <w:qFormat/>
    <w:uiPriority w:val="0"/>
    <w:pPr>
      <w:spacing w:after="120"/>
    </w:pPr>
    <w:rPr>
      <w:rFonts w:cs="黑体"/>
    </w:rPr>
  </w:style>
  <w:style w:type="paragraph" w:styleId="6">
    <w:name w:val="Body Text Indent"/>
    <w:basedOn w:val="1"/>
    <w:qFormat/>
    <w:uiPriority w:val="99"/>
    <w:pPr>
      <w:ind w:right="26" w:firstLine="720"/>
    </w:pPr>
    <w:rPr>
      <w:kern w:val="0"/>
      <w:sz w:val="20"/>
    </w:rPr>
  </w:style>
  <w:style w:type="paragraph" w:styleId="7">
    <w:name w:val="Balloon Text"/>
    <w:basedOn w:val="1"/>
    <w:link w:val="21"/>
    <w:autoRedefine/>
    <w:semiHidden/>
    <w:unhideWhenUsed/>
    <w:qFormat/>
    <w:uiPriority w:val="99"/>
    <w:rPr>
      <w:sz w:val="18"/>
      <w:szCs w:val="18"/>
    </w:rPr>
  </w:style>
  <w:style w:type="paragraph" w:styleId="8">
    <w:name w:val="footer"/>
    <w:basedOn w:val="1"/>
    <w:link w:val="23"/>
    <w:unhideWhenUsed/>
    <w:qFormat/>
    <w:uiPriority w:val="99"/>
    <w:pPr>
      <w:tabs>
        <w:tab w:val="center" w:pos="4153"/>
        <w:tab w:val="right" w:pos="8306"/>
      </w:tabs>
      <w:snapToGrid w:val="0"/>
      <w:jc w:val="left"/>
    </w:pPr>
    <w:rPr>
      <w:sz w:val="18"/>
      <w:szCs w:val="18"/>
    </w:rPr>
  </w:style>
  <w:style w:type="paragraph" w:styleId="9">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0"/>
    <w:autoRedefine/>
    <w:semiHidden/>
    <w:unhideWhenUsed/>
    <w:qFormat/>
    <w:uiPriority w:val="99"/>
    <w:rPr>
      <w:b/>
      <w:bCs/>
    </w:rPr>
  </w:style>
  <w:style w:type="paragraph" w:styleId="11">
    <w:name w:val="Body Text First Indent"/>
    <w:basedOn w:val="5"/>
    <w:unhideWhenUsed/>
    <w:qFormat/>
    <w:uiPriority w:val="99"/>
    <w:pPr>
      <w:ind w:firstLine="420" w:firstLineChars="100"/>
    </w:pPr>
  </w:style>
  <w:style w:type="paragraph" w:styleId="12">
    <w:name w:val="Body Text First Indent 2"/>
    <w:basedOn w:val="6"/>
    <w:qFormat/>
    <w:uiPriority w:val="99"/>
    <w:pPr>
      <w:spacing w:after="120"/>
      <w:ind w:left="420" w:right="0" w:firstLine="210"/>
    </w:pPr>
  </w:style>
  <w:style w:type="character" w:styleId="15">
    <w:name w:val="Strong"/>
    <w:basedOn w:val="14"/>
    <w:qFormat/>
    <w:uiPriority w:val="22"/>
    <w:rPr>
      <w:b/>
    </w:rPr>
  </w:style>
  <w:style w:type="character" w:styleId="16">
    <w:name w:val="annotation reference"/>
    <w:basedOn w:val="14"/>
    <w:autoRedefine/>
    <w:semiHidden/>
    <w:unhideWhenUsed/>
    <w:qFormat/>
    <w:uiPriority w:val="99"/>
    <w:rPr>
      <w:sz w:val="21"/>
      <w:szCs w:val="21"/>
    </w:rPr>
  </w:style>
  <w:style w:type="character" w:customStyle="1" w:styleId="17">
    <w:name w:val="标题 #2_"/>
    <w:link w:val="18"/>
    <w:autoRedefine/>
    <w:qFormat/>
    <w:uiPriority w:val="0"/>
    <w:rPr>
      <w:rFonts w:ascii="Times New Roman Regular" w:hAnsi="Times New Roman Regular" w:eastAsia="黑体" w:cs="Times New Roman Regular"/>
      <w:bCs/>
      <w:sz w:val="24"/>
      <w:szCs w:val="24"/>
    </w:rPr>
  </w:style>
  <w:style w:type="paragraph" w:customStyle="1" w:styleId="18">
    <w:name w:val="标题 #2"/>
    <w:basedOn w:val="1"/>
    <w:link w:val="17"/>
    <w:autoRedefine/>
    <w:qFormat/>
    <w:uiPriority w:val="0"/>
    <w:pPr>
      <w:spacing w:before="120" w:beforeLines="50" w:after="120" w:afterLines="50" w:line="400" w:lineRule="exact"/>
      <w:ind w:right="159"/>
      <w:outlineLvl w:val="1"/>
    </w:pPr>
    <w:rPr>
      <w:rFonts w:ascii="Times New Roman Regular" w:hAnsi="Times New Roman Regular" w:eastAsia="黑体" w:cs="Times New Roman Regular"/>
      <w:bCs/>
      <w:sz w:val="24"/>
      <w:szCs w:val="24"/>
      <w:shd w:val="clear" w:color="auto" w:fill="FFFFFF"/>
    </w:rPr>
  </w:style>
  <w:style w:type="character" w:customStyle="1" w:styleId="19">
    <w:name w:val="批注文字 字符"/>
    <w:basedOn w:val="14"/>
    <w:link w:val="4"/>
    <w:autoRedefine/>
    <w:semiHidden/>
    <w:qFormat/>
    <w:uiPriority w:val="99"/>
    <w:rPr>
      <w:rFonts w:ascii="Calibri" w:hAnsi="Calibri" w:eastAsia="宋体" w:cs="Times New Roman"/>
      <w:szCs w:val="21"/>
    </w:rPr>
  </w:style>
  <w:style w:type="character" w:customStyle="1" w:styleId="20">
    <w:name w:val="批注主题 字符"/>
    <w:basedOn w:val="19"/>
    <w:link w:val="10"/>
    <w:autoRedefine/>
    <w:semiHidden/>
    <w:qFormat/>
    <w:uiPriority w:val="99"/>
    <w:rPr>
      <w:rFonts w:ascii="Calibri" w:hAnsi="Calibri" w:eastAsia="宋体" w:cs="Times New Roman"/>
      <w:b/>
      <w:bCs/>
      <w:szCs w:val="21"/>
    </w:rPr>
  </w:style>
  <w:style w:type="character" w:customStyle="1" w:styleId="21">
    <w:name w:val="批注框文本 字符"/>
    <w:basedOn w:val="14"/>
    <w:link w:val="7"/>
    <w:autoRedefine/>
    <w:semiHidden/>
    <w:qFormat/>
    <w:uiPriority w:val="99"/>
    <w:rPr>
      <w:rFonts w:ascii="Calibri" w:hAnsi="Calibri" w:eastAsia="宋体" w:cs="Times New Roman"/>
      <w:sz w:val="18"/>
      <w:szCs w:val="18"/>
    </w:rPr>
  </w:style>
  <w:style w:type="character" w:customStyle="1" w:styleId="22">
    <w:name w:val="页眉 字符"/>
    <w:basedOn w:val="14"/>
    <w:link w:val="9"/>
    <w:autoRedefine/>
    <w:qFormat/>
    <w:uiPriority w:val="99"/>
    <w:rPr>
      <w:rFonts w:ascii="Calibri" w:hAnsi="Calibri" w:eastAsia="宋体" w:cs="Times New Roman"/>
      <w:sz w:val="18"/>
      <w:szCs w:val="18"/>
    </w:rPr>
  </w:style>
  <w:style w:type="character" w:customStyle="1" w:styleId="23">
    <w:name w:val="页脚 字符"/>
    <w:basedOn w:val="14"/>
    <w:link w:val="8"/>
    <w:autoRedefine/>
    <w:qFormat/>
    <w:uiPriority w:val="99"/>
    <w:rPr>
      <w:rFonts w:ascii="Calibri" w:hAnsi="Calibri" w:eastAsia="宋体" w:cs="Times New Roman"/>
      <w:sz w:val="18"/>
      <w:szCs w:val="18"/>
    </w:rPr>
  </w:style>
  <w:style w:type="paragraph" w:customStyle="1" w:styleId="24">
    <w:name w:val="Body Text Indent 21"/>
    <w:autoRedefine/>
    <w:qFormat/>
    <w:uiPriority w:val="0"/>
    <w:pPr>
      <w:widowControl w:val="0"/>
      <w:spacing w:line="480" w:lineRule="auto"/>
      <w:ind w:left="420" w:leftChars="200"/>
      <w:jc w:val="both"/>
    </w:pPr>
    <w:rPr>
      <w:rFonts w:ascii="Times New Roman" w:hAnsi="Times New Roman" w:eastAsia="宋体" w:cs="Times New Roman"/>
      <w:kern w:val="2"/>
      <w:sz w:val="21"/>
      <w:lang w:val="en-US" w:eastAsia="zh-CN" w:bidi="ar-SA"/>
    </w:rPr>
  </w:style>
  <w:style w:type="paragraph" w:customStyle="1" w:styleId="25">
    <w:name w:val="标准文件_段"/>
    <w:link w:val="2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6">
    <w:name w:val="标准文件_段 Char"/>
    <w:link w:val="25"/>
    <w:autoRedefine/>
    <w:qFormat/>
    <w:uiPriority w:val="0"/>
    <w:rPr>
      <w:rFonts w:ascii="宋体"/>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e6af962d-3e69-4ea3-8cfc-1d2af7fefd62</errorID>
      <errorWord>企事业单位内部治安保卫工作条例</errorWord>
      <group>L1_Knowledge</group>
      <groupName>知识性问题</groupName>
      <ability>L2_Knowledge</ability>
      <abilityName>其他知识</abilityName>
      <candidateList/>
      <explain>当前法律法规未收录或尚未生效，注意核查是否正确。</explain>
      <paraID>26F0A643</paraID>
      <start>19</start>
      <end>34</end>
      <status>ignored</status>
      <modifiedWord/>
      <trackRevisions>false</trackRevisions>
    </reviewItem>
    <reviewItem>
      <errorID>e1680c67-1097-4afc-9069-acdc1db82ea0</errorID>
      <errorWord>文化部</errorWord>
      <group>L1_Knowledge</group>
      <groupName>知识性问题</groupName>
      <ability>L2_Knowledge</ability>
      <abilityName>其他知识</abilityName>
      <candidateList>
        <item>文化和旅游部</item>
      </candidateList>
      <explain/>
      <paraID>4EC9E096</paraID>
      <start>69</start>
      <end>72</end>
      <status>ignored</status>
      <modifiedWord/>
      <trackRevisions>false</trackRevisions>
    </reviewItem>
    <reviewItem>
      <errorID>107bdc70-19fb-4816-8d25-eb60def0fdc9</errorID>
      <errorWord>4.1</errorWord>
      <group>L1_Political</group>
      <groupName>政治性问题</groupName>
      <ability>L2_Unpolitical</ability>
      <abilityName>政治敏感错误</abilityName>
      <candidateList>
        <item>4·1</item>
      </candidateList>
      <explain/>
      <paraID>31B9A845</paraID>
      <start>1</start>
      <end>4</end>
      <status>ignored</status>
      <modifiedWord/>
      <trackRevisions>false</trackRevisions>
    </reviewItem>
    <reviewItem>
      <errorID>96f0bb06-b27c-40e3-b90a-214ea638dd8e</errorID>
      <errorWord>4.2</errorWord>
      <group>L1_Political</group>
      <groupName>政治性问题</groupName>
      <ability>L2_Unpolitical</ability>
      <abilityName>政治敏感错误</abilityName>
      <candidateList>
        <item>4·2</item>
      </candidateList>
      <explain/>
      <paraID>54E84C37</paraID>
      <start>1</start>
      <end>4</end>
      <status>ignored</status>
      <modifiedWord/>
      <trackRevisions>false</trackRevisions>
    </reviewItem>
    <reviewItem>
      <errorID>c8179ea2-b40d-4bcf-bec4-11caded7f22c</errorID>
      <errorWord>4.3</errorWord>
      <group>L1_Political</group>
      <groupName>政治性问题</groupName>
      <ability>L2_Unpolitical</ability>
      <abilityName>政治敏感错误</abilityName>
      <candidateList>
        <item>4·3</item>
      </candidateList>
      <explain/>
      <paraID>6B5FD6CB</paraID>
      <start>1</start>
      <end>4</end>
      <status>ignored</status>
      <modifiedWord/>
      <trackRevisions>false</trackRevisions>
    </reviewItem>
    <reviewItem>
      <errorID>3c840acd-ef6a-4b50-9e35-5ab22f9c8db2</errorID>
      <errorWord>4.4</errorWord>
      <group>L1_Political</group>
      <groupName>政治性问题</groupName>
      <ability>L2_Unpolitical</ability>
      <abilityName>政治敏感错误</abilityName>
      <candidateList>
        <item>4·4</item>
      </candidateList>
      <explain/>
      <paraID>182E70FE</paraID>
      <start>1</start>
      <end>4</end>
      <status>ignored</status>
      <modifiedWord/>
      <trackRevisions>false</trackRevisions>
    </reviewItem>
    <reviewItem>
      <errorID>dec36ee9-854f-4215-8d6f-3c8b5cc3ca8e</errorID>
      <errorWord>4.5</errorWord>
      <group>L1_Political</group>
      <groupName>政治性问题</groupName>
      <ability>L2_Unpolitical</ability>
      <abilityName>政治敏感错误</abilityName>
      <candidateList>
        <item>4·5</item>
      </candidateList>
      <explain/>
      <paraID>105BEF55</paraID>
      <start>214</start>
      <end>217</end>
      <status>ignored</status>
      <modifiedWord/>
      <trackRevisions>false</trackRevisions>
    </reviewItem>
    <reviewItem>
      <errorID>c636e3df-d48c-45a7-ac5a-8497d34e92ee</errorID>
      <errorWord>安全岗位责任制</errorWord>
      <group>L1_Political</group>
      <groupName>政治性问题</groupName>
      <ability>L2_Keyword</ability>
      <abilityName>固定表述</abilityName>
      <candidateList>
        <item>安全生产责任制</item>
      </candidateList>
      <explain>词汇“安全生产责任制”在特定场景下为固定表述形式，请确认此处的“安全岗位责任制”是否存在不当。</explain>
      <paraID>6D9C9B7E</paraID>
      <start>23</start>
      <end>30</end>
      <status>ignored</status>
      <modifiedWord/>
      <trackRevisions>false</trackRevisions>
    </reviewItem>
    <reviewItem>
      <errorID>9fbe2190-dd7e-4c15-93f2-aa95e3f75d3d</errorID>
      <errorWord>级</errorWord>
      <group>L1_Knowledge</group>
      <groupName>知识性问题</groupName>
      <ability>L2_Knowledge</ability>
      <abilityName>其他知识</abilityName>
      <candidateList>
        <item>苏</item>
      </candidateList>
      <explain/>
      <paraID>2C06266A</paraID>
      <start>463</start>
      <end>464</end>
      <status>ignored</status>
      <modifiedWord/>
      <trackRevisions>false</trackRevisions>
    </reviewItem>
    <reviewItem>
      <errorID>c96fedad-f338-4be6-99b5-0a50c80f8e68</errorID>
      <errorWord>《加强文物博物馆单位治安防范工作的意见》（九）</errorWord>
      <group>L1_Knowledge</group>
      <groupName>知识性问题</groupName>
      <ability>L2_Knowledge</ability>
      <abilityName>其他知识</abilityName>
      <candidateList>
        <item>《加强文物博物馆单位治安防范工作的意见（九）》</item>
      </candidateList>
      <explain>疑似政策文件、法律法规名称等书写不规范，请注意检查。</explain>
      <paraID>2C06266A</paraID>
      <start>522</start>
      <end>545</end>
      <status>ignored</status>
      <modifiedWord/>
      <trackRevisions>false</trackRevisions>
    </reviewItem>
    <reviewItem>
      <errorID>487faed6-2550-4b41-9f87-6469bc685675</errorID>
      <errorWord>《加强文物博物馆单位治安防范工作的意见》（九）</errorWord>
      <group>L1_Knowledge</group>
      <groupName>知识性问题</groupName>
      <ability>L2_Knowledge</ability>
      <abilityName>其他知识</abilityName>
      <candidateList>
        <item>《加强文物博物馆单位治安防范工作的意见（九）》</item>
      </candidateList>
      <explain>疑似政策文件、法律法规名称等书写不规范，请注意检查。</explain>
      <paraID>2A2227AE</paraID>
      <start>110</start>
      <end>133</end>
      <status>ignored</status>
      <modifiedWord/>
      <trackRevisions>false</trackRevisions>
    </reviewItem>
    <reviewItem>
      <errorID>83aaf267-c41c-4e0a-890b-aacc3837faad</errorID>
      <errorWord>5.2</errorWord>
      <group>L1_Political</group>
      <groupName>政治性问题</groupName>
      <ability>L2_Unpolitical</ability>
      <abilityName>政治敏感错误</abilityName>
      <candidateList>
        <item>5·2</item>
      </candidateList>
      <explain/>
      <paraID>2A2227AE</paraID>
      <start>281</start>
      <end>284</end>
      <status>ignored</status>
      <modifiedWord/>
      <trackRevisions>false</trackRevisions>
    </reviewItem>
    <reviewItem>
      <errorID>3c817be5-e3f5-4a3f-b92f-bc48ebcd8aa1</errorID>
      <errorWord>6.1</errorWord>
      <group>L1_Political</group>
      <groupName>政治性问题</groupName>
      <ability>L2_Unpolitical</ability>
      <abilityName>政治敏感错误</abilityName>
      <candidateList>
        <item>6·1</item>
      </candidateList>
      <explain/>
      <paraID>2D3BC83E</paraID>
      <start>29</start>
      <end>32</end>
      <status>ignored</status>
      <modifiedWord/>
      <trackRevisions>false</trackRevisions>
    </reviewItem>
    <reviewItem>
      <errorID>9f57328e-e46f-47f6-92cf-344db8e34050</errorID>
      <errorWord>6.1</errorWord>
      <group>L1_Political</group>
      <groupName>政治性问题</groupName>
      <ability>L2_Unpolitical</ability>
      <abilityName>政治敏感错误</abilityName>
      <candidateList>
        <item>6·1</item>
      </candidateList>
      <explain/>
      <paraID>2D3BC83E</paraID>
      <start>235</start>
      <end>238</end>
      <status>ignored</status>
      <modifiedWord/>
      <trackRevisions>false</trackRevisions>
    </reviewItem>
    <reviewItem>
      <errorID>82cb2199-f1c1-4f9f-bea9-2380e87b1913</errorID>
      <errorWord>6.2</errorWord>
      <group>L1_Political</group>
      <groupName>政治性问题</groupName>
      <ability>L2_Unpolitical</ability>
      <abilityName>政治敏感错误</abilityName>
      <candidateList>
        <item>6·2</item>
      </candidateList>
      <explain/>
      <paraID>2D3BC83E</paraID>
      <start>280</start>
      <end>283</end>
      <status>ignored</status>
      <modifiedWord/>
      <trackRevisions>false</trackRevisions>
    </reviewItem>
    <reviewItem>
      <errorID>54b6853f-39ea-4dbd-8e76-ca920237da08</errorID>
      <errorWord>6.3</errorWord>
      <group>L1_Political</group>
      <groupName>政治性问题</groupName>
      <ability>L2_Unpolitical</ability>
      <abilityName>政治敏感错误</abilityName>
      <candidateList>
        <item>6·3</item>
      </candidateList>
      <explain/>
      <paraID>2D3BC83E</paraID>
      <start>330</start>
      <end>333</end>
      <status>ignored</status>
      <modifiedWord/>
      <trackRevisions>false</trackRevisions>
    </reviewItem>
    <reviewItem>
      <errorID>94d2e542-ed4d-4426-a2b9-40d4cf450ee6</errorID>
      <errorWord>6.5</errorWord>
      <group>L1_Political</group>
      <groupName>政治性问题</groupName>
      <ability>L2_Unpolitical</ability>
      <abilityName>政治敏感错误</abilityName>
      <candidateList>
        <item>6·5</item>
      </candidateList>
      <explain/>
      <paraID>2D3BC83E</paraID>
      <start>351</start>
      <end>354</end>
      <status>ignored</status>
      <modifiedWord/>
      <trackRevisions>false</trackRevisions>
    </reviewItem>
    <reviewItem>
      <errorID>645c1aad-febf-4b24-88aa-e6632dafba83</errorID>
      <errorWord>1）、</errorWord>
      <group>L1_Punc</group>
      <groupName>标点问题</groupName>
      <ability>L2_Punc</ability>
      <abilityName>标点符号检查</abilityName>
      <candidateList>
        <item>1）</item>
      </candidateList>
      <explain>根据国标GB/T 15834-2011《标点符号用法》中的4.5.3.3节，带括号的汉字数字或阿拉伯数字表次序时，后面通常不加顿号。如“（一）指导思想”“（二）行动指南”。</explain>
      <paraID>51592795</paraID>
      <start>27</start>
      <end>30</end>
      <status>ignored</status>
      <modifiedWord/>
      <trackRevisions>false</trackRevisions>
    </reviewItem>
    <reviewItem>
      <errorID>cd3da7b5-fb95-46f7-9a76-88223458f8ad</errorID>
      <errorWord>3）、</errorWord>
      <group>L1_Punc</group>
      <groupName>标点问题</groupName>
      <ability>L2_Punc</ability>
      <abilityName>标点符号检查</abilityName>
      <candidateList>
        <item>3）</item>
      </candidateList>
      <explain>根据国标GB/T 15834-2011《标点符号用法》中的4.5.3.3节，带括号的汉字数字或阿拉伯数字表次序时，后面通常不加顿号。如“（一）指导思想”“（二）行动指南”。</explain>
      <paraID>51592795</paraID>
      <start>41</start>
      <end>44</end>
      <status>ignored</status>
      <modifiedWord/>
      <trackRevisions>false</trackRevisions>
    </reviewItem>
    <reviewItem>
      <errorID>1b748c92-debd-46e6-a3b9-f3aaa7e8aa85</errorID>
      <errorWord>1）、</errorWord>
      <group>L1_Punc</group>
      <groupName>标点问题</groupName>
      <ability>L2_Punc</ability>
      <abilityName>标点符号检查</abilityName>
      <candidateList>
        <item>1）</item>
      </candidateList>
      <explain>根据国标GB/T 15834-2011《标点符号用法》中的4.5.3.3节，带括号的汉字数字或阿拉伯数字表次序时，后面通常不加顿号。如“（一）指导思想”“（二）行动指南”。</explain>
      <paraID>645067BA</paraID>
      <start>12</start>
      <end>15</end>
      <status>ignored</status>
      <modifiedWord/>
      <trackRevisions>false</trackRevisions>
    </reviewItem>
    <reviewItem>
      <errorID>7099e569-36f3-4980-925b-f6ac0ff4b502</errorID>
      <errorWord>企业事业单位内部治安保卫规范</errorWord>
      <group>L1_Knowledge</group>
      <groupName>知识性问题</groupName>
      <ability>L2_Knowledge</ability>
      <abilityName>其他知识</abilityName>
      <candidateList>
        <item>企业事业单位内部治安保卫条例</item>
      </candidateList>
      <explain>当前法律法规未收录或尚未生效，注意核查是否正确。</explain>
      <paraID>4E8434AD</paraID>
      <start>219</start>
      <end>233</end>
      <status>ignored</status>
      <modifiedWord/>
      <trackRevisions>false</trackRevisions>
    </reviewItem>
    <reviewItem>
      <errorID>fbf78b0c-7408-449d-aead-7c102ff35da4</errorID>
      <errorWord>应对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40E5A2D2</paraID>
      <start>72</start>
      <end>74</end>
      <status>unmodified</status>
      <modifiedWord/>
      <trackRevisions>false</trackRevisions>
    </reviewItem>
    <reviewItem>
      <errorID>945fc7a5-30a1-4951-9a7b-6b8de73b24fe</errorID>
      <errorWord>“</errorWord>
      <group>L1_Punc</group>
      <groupName>标点问题</groupName>
      <ability>L2_Punc</ability>
      <abilityName>标点符号检查</abilityName>
      <candidateList/>
      <explain/>
      <paraID>4FD74C00</paraID>
      <start>218</start>
      <end>219</end>
      <status>unmodified</status>
      <modifiedWord/>
      <trackRevisions>false</trackRevisions>
    </reviewItem>
    <reviewItem>
      <errorID>3d31d820-e228-4b9b-a462-5aed62f4184a</errorID>
      <errorWord>《</errorWord>
      <group>L1_Punc</group>
      <groupName>标点问题</groupName>
      <ability>L2_Punc</ability>
      <abilityName>标点符号检查</abilityName>
      <candidateList/>
      <explain/>
      <paraID>6067EFE7</paraID>
      <start>0</start>
      <end>1</end>
      <status>unmodified</status>
      <modifiedWord/>
      <trackRevisions>false</trackRevisions>
    </reviewItem>
    <reviewItem>
      <errorID>ce958ca3-8dd7-4729-b6f1-5d870479d8cd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3BD74354</paraID>
      <start>0</start>
      <end>2</end>
      <status>unmodified</status>
      <modifiedWord/>
      <trackRevisions>false</trackRevisions>
    </reviewItem>
    <reviewItem>
      <errorID>c74a5540-4d68-4f88-88ac-12e1b0c016f3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4C3EB239</paraID>
      <start>0</start>
      <end>2</end>
      <status>unmodified</status>
      <modifiedWord/>
      <trackRevisions>false</trackRevisions>
    </reviewItem>
    <reviewItem>
      <errorID>9e150a60-860f-4629-abd4-6650e48d59ab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1C482434</paraID>
      <start>0</start>
      <end>2</end>
      <status>unmodified</status>
      <modifiedWord/>
      <trackRevisions>false</trackRevisions>
    </reviewItem>
    <reviewItem>
      <errorID>564e9d7e-1f66-4968-b10b-ced2f8e79d95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16A19D29</paraID>
      <start>0</start>
      <end>2</end>
      <status>unmodified</status>
      <modifiedWord/>
      <trackRevisions>false</trackRevisions>
    </reviewItem>
    <reviewItem>
      <errorID>3cde8328-1ce7-456f-bcbc-1d41c1cf298c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5116DF32</paraID>
      <start>0</start>
      <end>2</end>
      <status>unmodified</status>
      <modifiedWord/>
      <trackRevisions>false</trackRevisions>
    </reviewItem>
    <reviewItem>
      <errorID>3ffbd8ba-24a5-45f0-9f22-936e61734d9d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757D6EEE</paraID>
      <start>0</start>
      <end>2</end>
      <status>unmodified</status>
      <modifiedWord/>
      <trackRevisions>false</trackRevisions>
    </reviewItem>
    <reviewItem>
      <errorID>ca4ab3d2-84fc-4dd9-9f3f-727a769daf28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2159C494</paraID>
      <start>0</start>
      <end>2</end>
      <status>unmodified</status>
      <modifiedWord/>
      <trackRevisions>false</trackRevisions>
    </reviewItem>
    <reviewItem>
      <errorID>bced3bfd-3a71-4238-9598-9cc38f9d4b0a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BD7208F</paraID>
      <start>0</start>
      <end>2</end>
      <status>unmodified</status>
      <modifiedWord/>
      <trackRevisions>false</trackRevisions>
    </reviewItem>
    <reviewItem>
      <errorID>26c9072b-ddd9-47d3-ab91-68dd84c7b9fe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5708C9AA</paraID>
      <start>0</start>
      <end>2</end>
      <status>unmodified</status>
      <modifiedWord/>
      <trackRevisions>false</trackRevisions>
    </reviewItem>
    <reviewItem>
      <errorID>a601cdda-8ecd-4036-a1a7-66d3b2791a1e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72D760C</paraID>
      <start>0</start>
      <end>2</end>
      <status>unmodified</status>
      <modifiedWord/>
      <trackRevisions>false</trackRevisions>
    </reviewItem>
    <reviewItem>
      <errorID>d37f1762-9bfc-4e69-b3e4-84e8d0c6ddd7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7616646D</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c488d-0f5f-4b84-9f19-559014314cae}">
  <ds:schemaRefs/>
</ds:datastoreItem>
</file>

<file path=docProps/app.xml><?xml version="1.0" encoding="utf-8"?>
<Properties xmlns="http://schemas.openxmlformats.org/officeDocument/2006/extended-properties" xmlns:vt="http://schemas.openxmlformats.org/officeDocument/2006/docPropsVTypes">
  <Template>Normal</Template>
  <Pages>23</Pages>
  <Words>19098</Words>
  <Characters>20331</Characters>
  <Lines>140</Lines>
  <Paragraphs>39</Paragraphs>
  <TotalTime>11</TotalTime>
  <ScaleCrop>false</ScaleCrop>
  <LinksUpToDate>false</LinksUpToDate>
  <CharactersWithSpaces>20466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2021-05-18T02:56:00Z</dcterms:created>
  <dc:creator>ni huihui</dc:creator>
  <cp:lastModifiedBy>小颖</cp:lastModifiedBy>
  <dcterms:modified xsi:type="dcterms:W3CDTF">2026-04-23T03:16:30Z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7FBDE20E9DBA440895F5207B30337958_13</vt:lpwstr>
  </property>
  <property fmtid="{D5CDD505-2E9C-101B-9397-08002B2CF9AE}" pid="4" name="KSOTemplateDocerSaveRecord">
    <vt:lpwstr>eyJoZGlkIjoiNzUwZDFkMDUyMDVhN2MwODA0MmZiZTJiYTMyZTM5MjkiLCJ1c2VySWQiOiI0MjY1OTk0MTUifQ==</vt:lpwstr>
  </property>
</Properties>
</file>